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r>
        <w:t>Krisenstabssitzung „Neuartiges Coronavirus (COVID-19)“</w:t>
      </w:r>
    </w:p>
    <w:p>
      <w:r>
        <w:t>Ergebnisprotokoll</w:t>
      </w:r>
    </w:p>
    <w:p>
      <w:pPr>
        <w:rPr>
          <w:i/>
        </w:rPr>
      </w:pPr>
      <w:r>
        <w:rPr>
          <w:i/>
        </w:rPr>
        <w:t>(Aktenzeichen: 4.06.02/0024#0014)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Anlass: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-1069258484"/>
          <w:placeholder>
            <w:docPart w:val="DefaultPlaceholder_1082065158"/>
          </w:placeholder>
        </w:sdtPr>
        <w:sdtContent>
          <w:sdt>
            <w:sdtPr>
              <w:rPr>
                <w:i/>
                <w:sz w:val="22"/>
              </w:rPr>
              <w:id w:val="334350100"/>
              <w:placeholder>
                <w:docPart w:val="0A67EC378ADB4363968F76466F3994ED"/>
              </w:placeholder>
            </w:sdtPr>
            <w:sdtContent>
              <w:r>
                <w:rPr>
                  <w:sz w:val="22"/>
                </w:rPr>
                <w:t>Neuartiges Coronavirus (COVID-19)</w:t>
              </w:r>
            </w:sdtContent>
          </w:sdt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Datum: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1092433924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04.11.2020, 11:00 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sdt>
        <w:sdtPr>
          <w:rPr>
            <w:sz w:val="22"/>
          </w:rPr>
          <w:id w:val="1344203332"/>
          <w:placeholder>
            <w:docPart w:val="0F773A1FCB61483A80E8B309D8E6A01A"/>
          </w:placeholder>
        </w:sdtPr>
        <w:sdtContent>
          <w:proofErr w:type="spellStart"/>
          <w:r>
            <w:rPr>
              <w:sz w:val="22"/>
            </w:rPr>
            <w:t>Webexkonferenz</w:t>
          </w:r>
          <w:proofErr w:type="spellEnd"/>
        </w:sdtContent>
      </w:sdt>
    </w:p>
    <w:p>
      <w:pPr>
        <w:rPr>
          <w:b/>
          <w:sz w:val="22"/>
        </w:rPr>
      </w:pPr>
      <w:r>
        <w:rPr>
          <w:b/>
          <w:sz w:val="22"/>
        </w:rPr>
        <w:t>Moderation: Ute Rexroth</w:t>
      </w:r>
    </w:p>
    <w:p>
      <w:pPr>
        <w:spacing w:after="0"/>
        <w:rPr>
          <w:b/>
          <w:sz w:val="22"/>
        </w:rPr>
      </w:pPr>
      <w:r>
        <w:rPr>
          <w:b/>
          <w:sz w:val="22"/>
        </w:rPr>
        <w:t xml:space="preserve">Teilnehmende: 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Institutsleitung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Lothar Wieler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</w:rPr>
      </w:pPr>
      <w:r>
        <w:rPr>
          <w:sz w:val="22"/>
        </w:rPr>
        <w:t>Abt. 1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Martin Mielke</w:t>
      </w:r>
    </w:p>
    <w:p>
      <w:pPr>
        <w:pStyle w:val="Listenabsatz"/>
        <w:numPr>
          <w:ilvl w:val="0"/>
          <w:numId w:val="11"/>
        </w:numPr>
        <w:spacing w:after="0" w:line="233" w:lineRule="auto"/>
        <w:rPr>
          <w:sz w:val="22"/>
        </w:rPr>
      </w:pPr>
      <w:r>
        <w:rPr>
          <w:sz w:val="22"/>
        </w:rPr>
        <w:t>Abt. 3</w:t>
      </w:r>
    </w:p>
    <w:p>
      <w:pPr>
        <w:pStyle w:val="Listenabsatz"/>
        <w:numPr>
          <w:ilvl w:val="0"/>
          <w:numId w:val="12"/>
        </w:numPr>
        <w:spacing w:after="0" w:line="233" w:lineRule="auto"/>
        <w:rPr>
          <w:sz w:val="22"/>
        </w:rPr>
      </w:pPr>
      <w:r>
        <w:rPr>
          <w:sz w:val="22"/>
        </w:rPr>
        <w:t>Tanja Jung-Sendzik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</w:rPr>
      </w:pPr>
      <w:r>
        <w:rPr>
          <w:sz w:val="22"/>
        </w:rPr>
        <w:t>ZIG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Johanna Hanefeld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Sarah McFarland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FG12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Annette Mankertz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FG14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Melanie Brunke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FG17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Ralf Dürrwald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FG21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t>Patrick Schmich</w:t>
      </w:r>
    </w:p>
    <w:p>
      <w:pPr>
        <w:pStyle w:val="Listenabsatz"/>
        <w:numPr>
          <w:ilvl w:val="0"/>
          <w:numId w:val="18"/>
        </w:numPr>
        <w:spacing w:after="0"/>
        <w:rPr>
          <w:sz w:val="22"/>
        </w:rPr>
      </w:pPr>
      <w:r>
        <w:rPr>
          <w:sz w:val="22"/>
        </w:rPr>
        <w:t>FG24</w:t>
      </w:r>
    </w:p>
    <w:p>
      <w:pPr>
        <w:pStyle w:val="Listenabsatz"/>
        <w:numPr>
          <w:ilvl w:val="0"/>
          <w:numId w:val="19"/>
        </w:numPr>
        <w:spacing w:after="0"/>
        <w:rPr>
          <w:sz w:val="22"/>
        </w:rPr>
      </w:pPr>
      <w:r>
        <w:rPr>
          <w:sz w:val="22"/>
        </w:rPr>
        <w:t>Thomas Ziese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</w:rPr>
      </w:pPr>
      <w:r>
        <w:rPr>
          <w:sz w:val="22"/>
        </w:rPr>
        <w:t>FG 32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Michaela Diercke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</w:rPr>
      </w:pPr>
      <w:r>
        <w:rPr>
          <w:sz w:val="22"/>
        </w:rPr>
        <w:t>FG34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Viviane Bremer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Matthias </w:t>
      </w:r>
      <w:proofErr w:type="gramStart"/>
      <w:r>
        <w:rPr>
          <w:sz w:val="22"/>
        </w:rPr>
        <w:t>an der Heiden</w:t>
      </w:r>
      <w:proofErr w:type="gramEnd"/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FG36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Silke Buda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Walter Haas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FG37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Tim Eckmanns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</w:rPr>
      </w:pPr>
      <w:r>
        <w:rPr>
          <w:sz w:val="22"/>
        </w:rPr>
        <w:t>FG 38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Maria </w:t>
      </w:r>
      <w:proofErr w:type="gramStart"/>
      <w:r>
        <w:rPr>
          <w:sz w:val="22"/>
        </w:rPr>
        <w:t>an der Heiden</w:t>
      </w:r>
      <w:proofErr w:type="gramEnd"/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Ute Rexroth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IBBS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Christian Herzog</w:t>
      </w:r>
    </w:p>
    <w:p>
      <w:pPr>
        <w:rPr>
          <w:sz w:val="22"/>
        </w:rPr>
      </w:pPr>
      <w:r>
        <w:rPr>
          <w:sz w:val="22"/>
        </w:rPr>
        <w:br w:type="page"/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lastRenderedPageBreak/>
        <w:t>Presse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Susanne Glasmacher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Jamela Seedat</w:t>
      </w:r>
    </w:p>
    <w:p>
      <w:pPr>
        <w:pStyle w:val="Listenabsatz"/>
        <w:numPr>
          <w:ilvl w:val="0"/>
          <w:numId w:val="9"/>
        </w:numPr>
        <w:spacing w:after="0"/>
        <w:rPr>
          <w:sz w:val="22"/>
        </w:rPr>
      </w:pPr>
      <w:r>
        <w:rPr>
          <w:sz w:val="22"/>
        </w:rPr>
        <w:t>P1</w:t>
      </w:r>
    </w:p>
    <w:p>
      <w:pPr>
        <w:pStyle w:val="Listenabsatz"/>
        <w:numPr>
          <w:ilvl w:val="0"/>
          <w:numId w:val="10"/>
        </w:numPr>
        <w:spacing w:after="0"/>
        <w:rPr>
          <w:sz w:val="22"/>
        </w:rPr>
      </w:pPr>
      <w:r>
        <w:rPr>
          <w:sz w:val="22"/>
        </w:rPr>
        <w:t>Mirjam Jenny</w:t>
      </w:r>
    </w:p>
    <w:p>
      <w:pPr>
        <w:pStyle w:val="Listenabsatz"/>
        <w:numPr>
          <w:ilvl w:val="0"/>
          <w:numId w:val="10"/>
        </w:numPr>
        <w:rPr>
          <w:sz w:val="22"/>
        </w:rPr>
      </w:pPr>
      <w:r>
        <w:rPr>
          <w:sz w:val="22"/>
        </w:rPr>
        <w:t>Esther-Maria Antao</w:t>
      </w:r>
    </w:p>
    <w:p>
      <w:pPr>
        <w:pStyle w:val="Listenabsatz"/>
        <w:numPr>
          <w:ilvl w:val="0"/>
          <w:numId w:val="13"/>
        </w:numPr>
        <w:spacing w:after="0"/>
        <w:rPr>
          <w:sz w:val="22"/>
        </w:rPr>
      </w:pPr>
      <w:r>
        <w:rPr>
          <w:sz w:val="22"/>
        </w:rPr>
        <w:t>BMG</w:t>
      </w:r>
    </w:p>
    <w:p>
      <w:pPr>
        <w:pStyle w:val="Listenabsatz"/>
        <w:numPr>
          <w:ilvl w:val="0"/>
          <w:numId w:val="14"/>
        </w:numPr>
        <w:spacing w:after="0"/>
        <w:rPr>
          <w:sz w:val="22"/>
        </w:rPr>
      </w:pPr>
      <w:r>
        <w:rPr>
          <w:sz w:val="22"/>
        </w:rPr>
        <w:t>Iris Andernach</w:t>
      </w:r>
    </w:p>
    <w:p>
      <w:pPr>
        <w:pStyle w:val="Listenabsatz"/>
        <w:numPr>
          <w:ilvl w:val="0"/>
          <w:numId w:val="14"/>
        </w:numPr>
        <w:spacing w:after="0"/>
        <w:rPr>
          <w:sz w:val="22"/>
        </w:rPr>
      </w:pPr>
      <w:r>
        <w:rPr>
          <w:sz w:val="22"/>
        </w:rPr>
        <w:t>Romy Kerber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BZgA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Heidrun </w:t>
      </w:r>
      <w:proofErr w:type="spellStart"/>
      <w:r>
        <w:rPr>
          <w:sz w:val="22"/>
        </w:rPr>
        <w:t>Thaiss</w:t>
      </w:r>
      <w:proofErr w:type="spellEnd"/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Protokoll</w:t>
      </w:r>
    </w:p>
    <w:p>
      <w:pPr>
        <w:pStyle w:val="Listenabsatz"/>
        <w:numPr>
          <w:ilvl w:val="0"/>
          <w:numId w:val="15"/>
        </w:numPr>
        <w:spacing w:after="0"/>
        <w:contextualSpacing w:val="0"/>
        <w:rPr>
          <w:sz w:val="22"/>
        </w:rPr>
      </w:pPr>
      <w:r>
        <w:rPr>
          <w:sz w:val="22"/>
        </w:rPr>
        <w:t>Janet Frotscher</w:t>
      </w:r>
    </w:p>
    <w:p>
      <w:pPr>
        <w:pStyle w:val="Listenabsatz"/>
        <w:spacing w:after="0"/>
        <w:ind w:left="714"/>
        <w:rPr>
          <w:sz w:val="22"/>
        </w:rPr>
      </w:pPr>
    </w:p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795"/>
        <w:gridCol w:w="1492"/>
      </w:tblGrid>
      <w:tr>
        <w:tc>
          <w:tcPr>
            <w:tcW w:w="684" w:type="dxa"/>
          </w:tcPr>
          <w:p>
            <w:pPr>
              <w:rPr>
                <w:b/>
              </w:rPr>
            </w:pPr>
            <w:r>
              <w:br w:type="page"/>
            </w:r>
            <w:r>
              <w:br w:type="page"/>
            </w:r>
            <w:r>
              <w:rPr>
                <w:b/>
              </w:rPr>
              <w:t>TOP</w:t>
            </w:r>
          </w:p>
        </w:tc>
        <w:tc>
          <w:tcPr>
            <w:tcW w:w="6795" w:type="dxa"/>
          </w:tcPr>
          <w:p>
            <w:pPr>
              <w:rPr>
                <w:b/>
              </w:rPr>
            </w:pPr>
            <w:r>
              <w:rPr>
                <w:b/>
              </w:rPr>
              <w:t>Beitrag/Thema</w:t>
            </w:r>
          </w:p>
        </w:tc>
        <w:tc>
          <w:tcPr>
            <w:tcW w:w="1492" w:type="dxa"/>
          </w:tcPr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eingebracht von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Aktuelle Lage </w:t>
            </w:r>
          </w:p>
          <w:p>
            <w:pPr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International 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Trendanalyse international, Maßnahmen (Folien</w:t>
            </w:r>
            <w:hyperlink r:id="rId8" w:history="1">
              <w:r>
                <w:rPr>
                  <w:rStyle w:val="Hyperlink"/>
                  <w:sz w:val="22"/>
                  <w:szCs w:val="22"/>
                </w:rPr>
                <w:t xml:space="preserve"> hier</w:t>
              </w:r>
            </w:hyperlink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1"/>
                <w:numId w:val="5"/>
              </w:numPr>
              <w:ind w:left="907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Ca. 47,1 Mio. Fälle und fast 1,3 Mio. Verstorbene (2,6%)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Top 10 Länder nach Anzahl neuer Fälle in den letzten 7 Tagen: </w:t>
            </w:r>
          </w:p>
          <w:p>
            <w:pPr>
              <w:pStyle w:val="Listenabsatz"/>
              <w:numPr>
                <w:ilvl w:val="1"/>
                <w:numId w:val="5"/>
              </w:numPr>
              <w:ind w:left="907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unverändert, lediglich Polen und Russische Föderation haben die Plätze getauscht 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7-Tages-Inzidenz pro 100.000 Einwohner</w:t>
            </w:r>
          </w:p>
          <w:p>
            <w:pPr>
              <w:pStyle w:val="Listenabsatz"/>
              <w:numPr>
                <w:ilvl w:val="1"/>
                <w:numId w:val="5"/>
              </w:numPr>
              <w:ind w:left="907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81 Länder auf der Liste </w:t>
            </w:r>
          </w:p>
          <w:p>
            <w:pPr>
              <w:pStyle w:val="Listenabsatz"/>
              <w:numPr>
                <w:ilvl w:val="1"/>
                <w:numId w:val="5"/>
              </w:numPr>
              <w:ind w:left="907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Ein Land weniger als am Montag: Peru (Südamerika) nicht mehr dabei.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7-Tages-Inzidenz pro 100.000 Einwohner – EU/EWR/UK/CH</w:t>
            </w:r>
          </w:p>
          <w:p>
            <w:pPr>
              <w:pStyle w:val="Listenabsatz"/>
              <w:numPr>
                <w:ilvl w:val="0"/>
                <w:numId w:val="1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Norwegen ist neu hinzugekommen</w:t>
            </w:r>
          </w:p>
          <w:p>
            <w:pPr>
              <w:pStyle w:val="Listenabsatz"/>
              <w:numPr>
                <w:ilvl w:val="1"/>
                <w:numId w:val="5"/>
              </w:numPr>
              <w:ind w:left="907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Weiterhin nur 2 Länder, die die Inzidenz von 50 nicht überschreiten: in Estland und Finnland ist die Inzidenz &gt;40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Zusammenfassung und News</w:t>
            </w:r>
          </w:p>
          <w:p>
            <w:pPr>
              <w:pStyle w:val="Listenabsatz"/>
              <w:numPr>
                <w:ilvl w:val="1"/>
                <w:numId w:val="5"/>
              </w:numPr>
              <w:ind w:left="907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Europa: Anstieg um 58% im Vergleich zur Vorwoche in Italien und um 63% in Polen</w:t>
            </w:r>
          </w:p>
          <w:p>
            <w:pPr>
              <w:pStyle w:val="Listenabsatz"/>
              <w:numPr>
                <w:ilvl w:val="1"/>
                <w:numId w:val="5"/>
              </w:numPr>
              <w:ind w:left="907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Japan (</w:t>
            </w:r>
            <w:hyperlink r:id="rId9" w:history="1">
              <w:r>
                <w:rPr>
                  <w:rStyle w:val="Hyperlink"/>
                  <w:sz w:val="22"/>
                  <w:szCs w:val="22"/>
                </w:rPr>
                <w:t>Folien 4-11</w:t>
              </w:r>
            </w:hyperlink>
            <w:r>
              <w:rPr>
                <w:sz w:val="22"/>
                <w:szCs w:val="22"/>
              </w:rPr>
              <w:t xml:space="preserve">) hat die Krise bislang gut bewältigt, ca. 102.000 Fälle seit Beginn der Pandemie.  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„Clusters </w:t>
            </w:r>
            <w:proofErr w:type="spellStart"/>
            <w:r>
              <w:rPr>
                <w:sz w:val="22"/>
                <w:szCs w:val="22"/>
              </w:rPr>
              <w:t>of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cases</w:t>
            </w:r>
            <w:proofErr w:type="spellEnd"/>
            <w:r>
              <w:rPr>
                <w:sz w:val="22"/>
                <w:szCs w:val="22"/>
              </w:rPr>
              <w:t>“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Erster Fall am 16.01.2020 importiert aus Wuhan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Welle ist vorrangig zurückzuführen auf jüngere Personen, Nightclubs und größere Veranstaltungen</w:t>
            </w:r>
          </w:p>
          <w:p>
            <w:pPr>
              <w:pStyle w:val="Listenabsatz"/>
              <w:ind w:left="1491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17"/>
              </w:numPr>
              <w:ind w:left="1443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Diskussion: Was macht Japan besser als wir? Ist die Disziplin der Menschen ein Grund?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Eine Strategie Japans: Cluster Response Teams fokussieren sich auf Übertragung von </w:t>
            </w:r>
            <w:proofErr w:type="spellStart"/>
            <w:r>
              <w:rPr>
                <w:sz w:val="22"/>
                <w:szCs w:val="22"/>
              </w:rPr>
              <w:t>Superspreadern</w:t>
            </w:r>
            <w:proofErr w:type="spellEnd"/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CR-Teams haben bereits Erfahrung mit SARS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Es gibt keine Beweise/Studien warum, jedoch halten sich die Bürger stark und diszipliniert an Maßnahmen (Druck </w:t>
            </w:r>
            <w:proofErr w:type="spellStart"/>
            <w:r>
              <w:rPr>
                <w:sz w:val="22"/>
                <w:szCs w:val="22"/>
              </w:rPr>
              <w:t>society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Großes Vertrauen in die Regierung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Masken waren vorab schon akzeptiert (notwendige Rücksichtnahme gegenüber dem Nächsten)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Verbeugungen statt Umarmungen bei Begrüßung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Geographischer Vorteil der Insel (Reisebeschränkungen)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Katastrophenschutzübungen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Benutzung von „Cluster-</w:t>
            </w:r>
            <w:proofErr w:type="spellStart"/>
            <w:r>
              <w:rPr>
                <w:sz w:val="22"/>
                <w:szCs w:val="22"/>
              </w:rPr>
              <w:t>based</w:t>
            </w:r>
            <w:proofErr w:type="spellEnd"/>
            <w:r>
              <w:rPr>
                <w:sz w:val="22"/>
                <w:szCs w:val="22"/>
              </w:rPr>
              <w:t xml:space="preserve">“ </w:t>
            </w:r>
            <w:proofErr w:type="spellStart"/>
            <w:r>
              <w:rPr>
                <w:sz w:val="22"/>
                <w:szCs w:val="22"/>
              </w:rPr>
              <w:t>approach</w:t>
            </w:r>
            <w:proofErr w:type="spellEnd"/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Hohe Compliance der Bevölkerung bei Empfehlungen /Maßnahmen (Scham der Weiterverbreitung)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Japanische Zahlen sind belastbar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Kommunikation der „</w:t>
            </w:r>
            <w:proofErr w:type="spellStart"/>
            <w:r>
              <w:rPr>
                <w:sz w:val="22"/>
                <w:szCs w:val="22"/>
              </w:rPr>
              <w:t>three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Cs</w:t>
            </w:r>
            <w:proofErr w:type="spellEnd"/>
            <w:r>
              <w:rPr>
                <w:sz w:val="22"/>
                <w:szCs w:val="22"/>
              </w:rPr>
              <w:t>“ (</w:t>
            </w:r>
            <w:r>
              <w:rPr>
                <w:color w:val="1F497D" w:themeColor="text2"/>
                <w:sz w:val="22"/>
                <w:szCs w:val="22"/>
              </w:rPr>
              <w:t>Folie 5</w:t>
            </w:r>
            <w:r>
              <w:rPr>
                <w:sz w:val="22"/>
                <w:szCs w:val="22"/>
              </w:rPr>
              <w:t>) als politische Kommunikation – hat einen höheren Stellenwert für die Bevölkerung als beispielsweise eine Kampagne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Eventuell kann man in Deutschland „GGG“ statt „3G“ formulieren, um die Assoziation zum Mobilfunk zu vermeiden.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Ebenso wie „5G“ wird dies diskutiert, vor allem wegen der Analogie und der Assoziation zur schnellen Übertragung – sowohl Botschaften als auch virale Verbreitung</w:t>
            </w:r>
          </w:p>
          <w:p>
            <w:pPr>
              <w:pStyle w:val="Listenabsatz"/>
              <w:numPr>
                <w:ilvl w:val="0"/>
                <w:numId w:val="17"/>
              </w:numPr>
              <w:ind w:left="1443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Diskussion: Wie funktioniert „Cluster-</w:t>
            </w:r>
            <w:proofErr w:type="spellStart"/>
            <w:r>
              <w:rPr>
                <w:i/>
                <w:sz w:val="22"/>
                <w:szCs w:val="22"/>
              </w:rPr>
              <w:t>based</w:t>
            </w:r>
            <w:proofErr w:type="spellEnd"/>
            <w:r>
              <w:rPr>
                <w:i/>
                <w:sz w:val="22"/>
                <w:szCs w:val="22"/>
              </w:rPr>
              <w:t xml:space="preserve">“ </w:t>
            </w:r>
            <w:proofErr w:type="spellStart"/>
            <w:r>
              <w:rPr>
                <w:i/>
                <w:sz w:val="22"/>
                <w:szCs w:val="22"/>
              </w:rPr>
              <w:t>approach</w:t>
            </w:r>
            <w:proofErr w:type="spellEnd"/>
            <w:r>
              <w:rPr>
                <w:i/>
                <w:sz w:val="22"/>
                <w:szCs w:val="22"/>
              </w:rPr>
              <w:t>?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cluster-</w:t>
            </w:r>
            <w:proofErr w:type="spellStart"/>
            <w:r>
              <w:rPr>
                <w:sz w:val="22"/>
                <w:szCs w:val="22"/>
              </w:rPr>
              <w:t>based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testing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approach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>
            <w:pPr>
              <w:pStyle w:val="Listenabsatz"/>
              <w:ind w:left="907"/>
              <w:rPr>
                <w:sz w:val="22"/>
                <w:szCs w:val="22"/>
              </w:rPr>
            </w:pPr>
          </w:p>
          <w:p>
            <w:pPr>
              <w:spacing w:before="120"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National 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Fallzahlen, Todesfälle, Trend (Folien </w:t>
            </w:r>
            <w:hyperlink r:id="rId10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 xml:space="preserve">) </w:t>
            </w:r>
          </w:p>
          <w:p>
            <w:pPr>
              <w:pStyle w:val="Listenabsatz"/>
              <w:numPr>
                <w:ilvl w:val="1"/>
                <w:numId w:val="7"/>
              </w:numPr>
              <w:ind w:left="907" w:hanging="34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SurvNet</w:t>
            </w:r>
            <w:proofErr w:type="spellEnd"/>
            <w:r>
              <w:rPr>
                <w:sz w:val="22"/>
                <w:szCs w:val="22"/>
              </w:rPr>
              <w:t xml:space="preserve"> übermittelt: 577.593 (+17.214), davon 10.812 (1,9%) Todesfälle (+151), 7-Tages-Inzidenz 125,8/100.000 </w:t>
            </w:r>
            <w:proofErr w:type="spellStart"/>
            <w:r>
              <w:rPr>
                <w:sz w:val="22"/>
                <w:szCs w:val="22"/>
              </w:rPr>
              <w:t>Einw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>
            <w:pPr>
              <w:pStyle w:val="Listenabsatz"/>
              <w:numPr>
                <w:ilvl w:val="1"/>
                <w:numId w:val="7"/>
              </w:numPr>
              <w:ind w:left="907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4-Tage-R=0,81; 7-Tage-R=0,92</w:t>
            </w:r>
          </w:p>
          <w:p>
            <w:pPr>
              <w:pStyle w:val="Listenabsatz"/>
              <w:numPr>
                <w:ilvl w:val="1"/>
                <w:numId w:val="5"/>
              </w:numPr>
              <w:ind w:left="92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7-Tages-Inzidenz der Bundesländer nach Berichtsdatum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allen BL weiter ansteigender Trend 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Höchste Inzidenzen weiterhin in Bremen, Berlin, NRW und Hessen.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92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Geografische Verteilung in Deutschland: 7-Tage-Inzidenz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Karte färbt sich immer röter (</w:t>
            </w:r>
            <w:r>
              <w:rPr>
                <w:color w:val="1F497D" w:themeColor="text2"/>
                <w:sz w:val="22"/>
                <w:szCs w:val="22"/>
              </w:rPr>
              <w:t>Folie 3</w:t>
            </w:r>
            <w:r>
              <w:rPr>
                <w:sz w:val="22"/>
                <w:szCs w:val="22"/>
              </w:rPr>
              <w:t xml:space="preserve">) 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Nur noch 46 Landkreise mit 7-Tages-Inzidenz &gt;25-50 Fälle/100.000 </w:t>
            </w:r>
            <w:proofErr w:type="spellStart"/>
            <w:r>
              <w:rPr>
                <w:sz w:val="22"/>
                <w:szCs w:val="22"/>
              </w:rPr>
              <w:t>Einw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>
            <w:pPr>
              <w:pStyle w:val="Listenabsatz"/>
              <w:numPr>
                <w:ilvl w:val="1"/>
                <w:numId w:val="5"/>
              </w:numPr>
              <w:ind w:left="92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Altersgruppenspezifische Inzidenzen für hospitalisierte Fälle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Wochenvergleich MW 35-44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Fallzahlen / Woche deutlich angestiegen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Mittelwert des Alters steigt an 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Geschlechterverteilung bleibt relativ ausgewogen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Anzahl der Hospitalisierten steigt deutlich an (Daten noch nicht vollständig)</w:t>
            </w:r>
          </w:p>
          <w:p>
            <w:pPr>
              <w:pStyle w:val="Listenabsatz"/>
              <w:numPr>
                <w:ilvl w:val="1"/>
                <w:numId w:val="5"/>
              </w:numPr>
              <w:ind w:left="92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Übermittelte COVID-19 Todesfälle nach Sterbewoche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Deutlich mehr Fälle in KW 44 – ca. 400 Todesfälle</w:t>
            </w:r>
          </w:p>
          <w:p>
            <w:pPr>
              <w:pStyle w:val="Listenabsatz"/>
              <w:numPr>
                <w:ilvl w:val="1"/>
                <w:numId w:val="5"/>
              </w:numPr>
              <w:ind w:left="92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Fälle, die einem Ausbruch zugeordnet wurden, nach Infektionsumfeld (Setting) und Kalenderwoche (Zeitpunkt der Meldung des jeweiligen Falles) 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Daten für KW 44 noch nicht vollständig vorliegend (möglicherweise können Gesundheitsämter nicht mehr so gut ermitteln)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Ergebnisse aus Blutspende-Surveillance werden am Freitag besprochen</w:t>
            </w:r>
          </w:p>
          <w:p>
            <w:pPr>
              <w:pStyle w:val="Listenabsatz"/>
              <w:numPr>
                <w:ilvl w:val="2"/>
                <w:numId w:val="5"/>
              </w:numPr>
              <w:ind w:left="1491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Daten waren in den letzten drei Wochen relativ kongruent (Information von Frau Offergeld)</w:t>
            </w:r>
          </w:p>
          <w:p>
            <w:pPr>
              <w:pStyle w:val="Listenabsatz"/>
              <w:ind w:left="1491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20"/>
              </w:numPr>
              <w:ind w:left="1443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Diskussion: Argument für Verzerrung?</w:t>
            </w:r>
          </w:p>
          <w:p>
            <w:pPr>
              <w:pStyle w:val="Listenabsatz"/>
              <w:numPr>
                <w:ilvl w:val="0"/>
                <w:numId w:val="21"/>
              </w:numPr>
              <w:ind w:left="1494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Schlechte Erinnerung </w:t>
            </w:r>
          </w:p>
          <w:p>
            <w:pPr>
              <w:pStyle w:val="Listenabsatz"/>
              <w:numPr>
                <w:ilvl w:val="0"/>
                <w:numId w:val="21"/>
              </w:numPr>
              <w:ind w:left="1494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Fallkontrollstudie nicht genau</w:t>
            </w:r>
          </w:p>
          <w:p>
            <w:pPr>
              <w:pStyle w:val="Listenabsatz"/>
              <w:ind w:left="1494"/>
              <w:rPr>
                <w:i/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20"/>
              </w:numPr>
              <w:ind w:left="1443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Was bringt Infektionssetting? </w:t>
            </w:r>
          </w:p>
          <w:p>
            <w:pPr>
              <w:pStyle w:val="Listenabsatz"/>
              <w:numPr>
                <w:ilvl w:val="0"/>
                <w:numId w:val="22"/>
              </w:numPr>
              <w:ind w:left="1494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Wahl Surveillance, dann mit Fallkontrollstudie bestätigen </w:t>
            </w:r>
          </w:p>
          <w:p>
            <w:pPr>
              <w:pStyle w:val="Listenabsatz"/>
              <w:numPr>
                <w:ilvl w:val="0"/>
                <w:numId w:val="22"/>
              </w:numPr>
              <w:ind w:left="1494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Auffallend mehr Privatpersonen als in 1. Welle</w:t>
            </w:r>
          </w:p>
          <w:p>
            <w:pPr>
              <w:pStyle w:val="Listenabsatz"/>
              <w:numPr>
                <w:ilvl w:val="0"/>
                <w:numId w:val="22"/>
              </w:numPr>
              <w:ind w:left="1494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Hoffen auf Aufstockung des Personals in GÄ </w:t>
            </w:r>
          </w:p>
          <w:p>
            <w:pPr>
              <w:pStyle w:val="Listenabsatz"/>
              <w:ind w:left="1494"/>
              <w:rPr>
                <w:i/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20"/>
              </w:numPr>
              <w:ind w:left="1443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Gibt es zur </w:t>
            </w:r>
            <w:proofErr w:type="spellStart"/>
            <w:r>
              <w:rPr>
                <w:i/>
                <w:sz w:val="22"/>
                <w:szCs w:val="22"/>
              </w:rPr>
              <w:t>Attack</w:t>
            </w:r>
            <w:proofErr w:type="spellEnd"/>
            <w:r>
              <w:rPr>
                <w:i/>
                <w:sz w:val="22"/>
                <w:szCs w:val="22"/>
              </w:rPr>
              <w:t xml:space="preserve"> Rate in Haushalten neue Daten?</w:t>
            </w:r>
          </w:p>
          <w:p>
            <w:pPr>
              <w:pStyle w:val="Listenabsatz"/>
              <w:numPr>
                <w:ilvl w:val="0"/>
                <w:numId w:val="23"/>
              </w:numPr>
              <w:spacing w:after="60"/>
              <w:rPr>
                <w:i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Attack</w:t>
            </w:r>
            <w:proofErr w:type="spellEnd"/>
            <w:r>
              <w:rPr>
                <w:sz w:val="22"/>
                <w:szCs w:val="22"/>
              </w:rPr>
              <w:t xml:space="preserve"> Rates können nicht berechnet werden</w:t>
            </w:r>
          </w:p>
          <w:p>
            <w:pPr>
              <w:pStyle w:val="Listenabsatz"/>
              <w:numPr>
                <w:ilvl w:val="0"/>
                <w:numId w:val="23"/>
              </w:numPr>
              <w:spacing w:after="60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Keine näheren Infos</w:t>
            </w:r>
          </w:p>
          <w:p>
            <w:pPr>
              <w:spacing w:after="60"/>
              <w:rPr>
                <w:i/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spacing w:after="60"/>
              <w:ind w:left="473"/>
              <w:rPr>
                <w:i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Syndromische</w:t>
            </w:r>
            <w:proofErr w:type="spellEnd"/>
            <w:r>
              <w:rPr>
                <w:sz w:val="22"/>
                <w:szCs w:val="22"/>
              </w:rPr>
              <w:t xml:space="preserve"> Surveillance (</w:t>
            </w:r>
            <w:hyperlink r:id="rId11" w:history="1">
              <w:r>
                <w:rPr>
                  <w:rStyle w:val="Hyperlink"/>
                  <w:sz w:val="22"/>
                  <w:szCs w:val="22"/>
                </w:rPr>
                <w:t>Folien hier)</w:t>
              </w:r>
            </w:hyperlink>
          </w:p>
          <w:p>
            <w:pPr>
              <w:pStyle w:val="Listenabsatz"/>
              <w:numPr>
                <w:ilvl w:val="1"/>
                <w:numId w:val="5"/>
              </w:numPr>
              <w:ind w:left="924" w:hanging="357"/>
              <w:rPr>
                <w:color w:val="1F497D" w:themeColor="text2"/>
                <w:sz w:val="22"/>
                <w:szCs w:val="22"/>
              </w:rPr>
            </w:pPr>
            <w:r>
              <w:rPr>
                <w:sz w:val="22"/>
                <w:szCs w:val="22"/>
              </w:rPr>
              <w:t>Der Wert (gesamt) lag in der 44. KW 2020 bei knapp 1.700 Arzt</w:t>
            </w:r>
            <w:r>
              <w:rPr>
                <w:sz w:val="22"/>
                <w:szCs w:val="22"/>
              </w:rPr>
              <w:softHyphen/>
              <w:t>konsul</w:t>
            </w:r>
            <w:r>
              <w:rPr>
                <w:sz w:val="22"/>
                <w:szCs w:val="22"/>
              </w:rPr>
              <w:softHyphen/>
              <w:t>ta</w:t>
            </w:r>
            <w:r>
              <w:rPr>
                <w:sz w:val="22"/>
                <w:szCs w:val="22"/>
              </w:rPr>
              <w:softHyphen/>
              <w:t>tionen wegen ARE pro 100.000 Einwohner. Auf die Bevölke</w:t>
            </w:r>
            <w:r>
              <w:rPr>
                <w:sz w:val="22"/>
                <w:szCs w:val="22"/>
              </w:rPr>
              <w:softHyphen/>
              <w:t>rung in Deutschland bezogen entspricht das einer Gesamtzahl von ca. 1,4 Mio. Arzt</w:t>
            </w:r>
            <w:r>
              <w:rPr>
                <w:sz w:val="22"/>
                <w:szCs w:val="22"/>
              </w:rPr>
              <w:softHyphen/>
              <w:t>besuchen wegen akuter Atem</w:t>
            </w:r>
            <w:r>
              <w:rPr>
                <w:sz w:val="22"/>
                <w:szCs w:val="22"/>
              </w:rPr>
              <w:softHyphen/>
              <w:t>wegs</w:t>
            </w:r>
            <w:r>
              <w:rPr>
                <w:sz w:val="22"/>
                <w:szCs w:val="22"/>
              </w:rPr>
              <w:softHyphen/>
              <w:t>er</w:t>
            </w:r>
            <w:r>
              <w:rPr>
                <w:sz w:val="22"/>
                <w:szCs w:val="22"/>
              </w:rPr>
              <w:softHyphen/>
              <w:t>kran</w:t>
            </w:r>
            <w:r>
              <w:rPr>
                <w:sz w:val="22"/>
                <w:szCs w:val="22"/>
              </w:rPr>
              <w:softHyphen/>
              <w:t xml:space="preserve">kungen. </w:t>
            </w:r>
            <w:r>
              <w:rPr>
                <w:color w:val="1F497D" w:themeColor="text2"/>
                <w:sz w:val="22"/>
                <w:szCs w:val="22"/>
              </w:rPr>
              <w:t>(Folie 4)</w:t>
            </w:r>
          </w:p>
          <w:p>
            <w:pPr>
              <w:pStyle w:val="Listenabsatz"/>
              <w:numPr>
                <w:ilvl w:val="1"/>
                <w:numId w:val="5"/>
              </w:numPr>
              <w:ind w:left="92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ARE-Konsultationen bis zur 44. KW 2020 nur AG ab 15 Jahre: deutlich und besorgniserregend über starker Welle von 2017/2018</w:t>
            </w:r>
          </w:p>
          <w:p>
            <w:pPr>
              <w:pStyle w:val="Listenabsatz"/>
              <w:numPr>
                <w:ilvl w:val="1"/>
                <w:numId w:val="5"/>
              </w:numPr>
              <w:ind w:left="92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ICOSARI-KH-Surveillance – COVID-SARI-Fälle (J09 – J22) bis zur 43. KW max. Verweildauer 1 Woche: dargestellt mit allen Hospitalisierten mit COVID-19 Diagnose </w:t>
            </w:r>
            <w:r>
              <w:rPr>
                <w:color w:val="1F497D" w:themeColor="text2"/>
                <w:sz w:val="22"/>
                <w:szCs w:val="22"/>
              </w:rPr>
              <w:t>(Folie 7)</w:t>
            </w:r>
          </w:p>
          <w:p>
            <w:pPr>
              <w:pStyle w:val="Listenabsatz"/>
              <w:numPr>
                <w:ilvl w:val="1"/>
                <w:numId w:val="5"/>
              </w:numPr>
              <w:ind w:left="92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Daten zu hospitalisierten Fällen in Folien zeigen hohe Dynamik der Welle</w:t>
            </w:r>
          </w:p>
          <w:p>
            <w:pPr>
              <w:pStyle w:val="Listenabsatz"/>
              <w:ind w:left="924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Testkapazität und Testungen (</w:t>
            </w:r>
            <w:hyperlink r:id="rId12" w:history="1">
              <w:r>
                <w:rPr>
                  <w:rStyle w:val="Hyperlink"/>
                  <w:sz w:val="22"/>
                  <w:szCs w:val="22"/>
                </w:rPr>
                <w:t>Folien hier</w:t>
              </w:r>
            </w:hyperlink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0"/>
                <w:numId w:val="24"/>
              </w:numPr>
              <w:ind w:left="9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Weiterer Anstieg (7,5% Anzahl der Testungen)</w:t>
            </w:r>
          </w:p>
          <w:p>
            <w:pPr>
              <w:pStyle w:val="Listenabsatz"/>
              <w:numPr>
                <w:ilvl w:val="0"/>
                <w:numId w:val="24"/>
              </w:numPr>
              <w:ind w:left="92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Positivenanteile</w:t>
            </w:r>
            <w:proofErr w:type="spellEnd"/>
            <w:r>
              <w:rPr>
                <w:sz w:val="22"/>
                <w:szCs w:val="22"/>
              </w:rPr>
              <w:t xml:space="preserve"> pro Woche: fast 7,5% (</w:t>
            </w:r>
            <w:r>
              <w:rPr>
                <w:color w:val="1F497D" w:themeColor="text2"/>
                <w:sz w:val="22"/>
                <w:szCs w:val="22"/>
              </w:rPr>
              <w:t>Folie 1</w:t>
            </w:r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0"/>
                <w:numId w:val="24"/>
              </w:numPr>
              <w:ind w:left="92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Positivenanteile</w:t>
            </w:r>
            <w:proofErr w:type="spellEnd"/>
            <w:r>
              <w:rPr>
                <w:sz w:val="22"/>
                <w:szCs w:val="22"/>
              </w:rPr>
              <w:t xml:space="preserve"> nach Bundesland: Sachsen mit 12 % deutlich erhöht (</w:t>
            </w:r>
            <w:r>
              <w:rPr>
                <w:color w:val="1F497D" w:themeColor="text2"/>
                <w:sz w:val="22"/>
                <w:szCs w:val="22"/>
              </w:rPr>
              <w:t>Folie 2</w:t>
            </w:r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0"/>
                <w:numId w:val="24"/>
              </w:numPr>
              <w:ind w:left="9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Anzahl der Testungen und </w:t>
            </w:r>
            <w:proofErr w:type="spellStart"/>
            <w:r>
              <w:rPr>
                <w:sz w:val="22"/>
                <w:szCs w:val="22"/>
              </w:rPr>
              <w:t>Positivenanteile</w:t>
            </w:r>
            <w:proofErr w:type="spellEnd"/>
            <w:r>
              <w:rPr>
                <w:sz w:val="22"/>
                <w:szCs w:val="22"/>
              </w:rPr>
              <w:t xml:space="preserve"> Rehabilitation: Anteil pos. Tests bei 2%, Ausbrüche nehmen zu (</w:t>
            </w:r>
            <w:r>
              <w:rPr>
                <w:color w:val="1F497D" w:themeColor="text2"/>
                <w:sz w:val="22"/>
                <w:szCs w:val="22"/>
              </w:rPr>
              <w:t>Folie 3</w:t>
            </w:r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0"/>
                <w:numId w:val="24"/>
              </w:numPr>
              <w:spacing w:after="60"/>
              <w:ind w:left="927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Anzahl Testungen pro 100.00 Einwohner nach Altersgruppe und Kalenderwoche: leichter Rückgang (</w:t>
            </w:r>
            <w:r>
              <w:rPr>
                <w:color w:val="1F497D" w:themeColor="text2"/>
                <w:sz w:val="22"/>
                <w:szCs w:val="22"/>
              </w:rPr>
              <w:t>Folie 4)</w:t>
            </w:r>
          </w:p>
          <w:p>
            <w:pPr>
              <w:pStyle w:val="Listenabsatz"/>
              <w:numPr>
                <w:ilvl w:val="0"/>
                <w:numId w:val="24"/>
              </w:numPr>
              <w:spacing w:after="60"/>
              <w:ind w:left="927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Zunahme des positiven Anteils in den verschiedenen Altersgruppen (</w:t>
            </w:r>
            <w:r>
              <w:rPr>
                <w:color w:val="1F497D" w:themeColor="text2"/>
                <w:sz w:val="22"/>
                <w:szCs w:val="22"/>
              </w:rPr>
              <w:t>Folie 5</w:t>
            </w:r>
            <w:r>
              <w:rPr>
                <w:sz w:val="22"/>
                <w:szCs w:val="22"/>
              </w:rPr>
              <w:t>):0-</w:t>
            </w:r>
            <w:proofErr w:type="gramStart"/>
            <w:r>
              <w:rPr>
                <w:sz w:val="22"/>
                <w:szCs w:val="22"/>
              </w:rPr>
              <w:t>4 Jährige</w:t>
            </w:r>
            <w:proofErr w:type="gramEnd"/>
            <w:r>
              <w:rPr>
                <w:sz w:val="22"/>
                <w:szCs w:val="22"/>
              </w:rPr>
              <w:t xml:space="preserve"> sind davon ausgenommen (geringer Anstieg)</w:t>
            </w:r>
          </w:p>
          <w:p>
            <w:pPr>
              <w:pStyle w:val="Listenabsatz"/>
              <w:numPr>
                <w:ilvl w:val="0"/>
                <w:numId w:val="24"/>
              </w:numPr>
              <w:spacing w:after="60"/>
              <w:ind w:left="927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Testverzug (</w:t>
            </w:r>
            <w:r>
              <w:rPr>
                <w:color w:val="1F497D" w:themeColor="text2"/>
                <w:sz w:val="22"/>
                <w:szCs w:val="22"/>
              </w:rPr>
              <w:t>Folie 6</w:t>
            </w:r>
            <w:r>
              <w:rPr>
                <w:sz w:val="22"/>
                <w:szCs w:val="22"/>
              </w:rPr>
              <w:t>): 0 Tage Testverzug (Tage zwischen Abnahme und Test – in hellem Blau dargestellt)</w:t>
            </w:r>
          </w:p>
          <w:p>
            <w:pPr>
              <w:pStyle w:val="Listenabsatz"/>
              <w:numPr>
                <w:ilvl w:val="0"/>
                <w:numId w:val="24"/>
              </w:numPr>
              <w:spacing w:after="60"/>
              <w:ind w:left="927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Inzwischen wird etwas länger auf Testergebnis gewartet (1-2 Tage)</w:t>
            </w:r>
          </w:p>
          <w:p>
            <w:pPr>
              <w:pStyle w:val="Listenabsatz"/>
              <w:spacing w:after="60"/>
              <w:ind w:left="927"/>
              <w:rPr>
                <w:i/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24"/>
              </w:numPr>
              <w:spacing w:after="6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lastRenderedPageBreak/>
              <w:t xml:space="preserve">Diskussion: Frage nach seriellen Testen in Bezug </w:t>
            </w:r>
            <w:proofErr w:type="gramStart"/>
            <w:r>
              <w:rPr>
                <w:i/>
                <w:sz w:val="22"/>
                <w:szCs w:val="22"/>
              </w:rPr>
              <w:t>auf regelmäßiges Test</w:t>
            </w:r>
            <w:proofErr w:type="gramEnd"/>
            <w:r>
              <w:rPr>
                <w:i/>
                <w:sz w:val="22"/>
                <w:szCs w:val="22"/>
              </w:rPr>
              <w:t>, Formulierung einer Ausnahme?</w:t>
            </w:r>
          </w:p>
          <w:p>
            <w:pPr>
              <w:pStyle w:val="Listenabsatz"/>
              <w:numPr>
                <w:ilvl w:val="0"/>
                <w:numId w:val="38"/>
              </w:numPr>
              <w:ind w:left="14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Abstimmung bezüglich eines Flussdiagramms, zurückhaltendes Vorgehen empfiehlt sich</w:t>
            </w:r>
          </w:p>
          <w:p>
            <w:pPr>
              <w:pStyle w:val="Listenabsatz"/>
              <w:spacing w:after="60"/>
              <w:ind w:left="1647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ZIG1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(McFarland)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Präs</w:t>
            </w:r>
            <w:proofErr w:type="spellEnd"/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FG34 (Bremer)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FG34 (Haas)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 (Hanefeld)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 (</w:t>
            </w:r>
            <w:proofErr w:type="spellStart"/>
            <w:r>
              <w:rPr>
                <w:sz w:val="22"/>
                <w:szCs w:val="22"/>
              </w:rPr>
              <w:t>Thaiss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 (Glasmacher</w:t>
            </w:r>
            <w:r>
              <w:rPr>
                <w:sz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 (</w:t>
            </w:r>
            <w:proofErr w:type="spellStart"/>
            <w:r>
              <w:rPr>
                <w:sz w:val="22"/>
                <w:szCs w:val="22"/>
              </w:rPr>
              <w:t>Thaiss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Präs</w:t>
            </w:r>
            <w:proofErr w:type="spellEnd"/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 (McFarland)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 (Diercke)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 (Diercke)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Präs</w:t>
            </w:r>
            <w:proofErr w:type="spellEnd"/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 (Diercke)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 (Rexroth)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FG37 (Eckmanns)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 (Diercke)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 (Glasmacher)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 (Buda)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 (Buda)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 (Haas)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FG37 (Eckmanns)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FG38 (Rexroth)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Abt.1 (Mielke)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Internationales</w:t>
            </w:r>
            <w:r>
              <w:rPr>
                <w:b/>
                <w:color w:val="FF0000"/>
              </w:rPr>
              <w:t xml:space="preserve"> 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Nicht besprochen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Update digitale Projekte </w:t>
            </w:r>
            <w:r>
              <w:rPr>
                <w:b/>
                <w:color w:val="FF0000"/>
              </w:rPr>
              <w:t>(nur montags)</w:t>
            </w:r>
          </w:p>
          <w:p>
            <w:pPr>
              <w:pStyle w:val="Listenabsatz"/>
              <w:numPr>
                <w:ilvl w:val="0"/>
                <w:numId w:val="5"/>
              </w:numPr>
              <w:spacing w:line="276" w:lineRule="auto"/>
              <w:ind w:left="473"/>
              <w:rPr>
                <w:b/>
                <w:sz w:val="28"/>
              </w:rPr>
            </w:pPr>
            <w:r>
              <w:rPr>
                <w:sz w:val="22"/>
                <w:szCs w:val="22"/>
              </w:rPr>
              <w:t>Nicht besprochen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Aktuelle Risikobewertung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 besprochen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rPr>
          <w:trHeight w:val="518"/>
        </w:trP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Kommunikation</w:t>
            </w:r>
          </w:p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BZgA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Keine Themen zu besprechen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Presse</w:t>
            </w:r>
          </w:p>
          <w:p>
            <w:pPr>
              <w:pStyle w:val="Listenabsatz"/>
              <w:numPr>
                <w:ilvl w:val="0"/>
                <w:numId w:val="25"/>
              </w:numPr>
              <w:ind w:left="4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Positive Berichte von der Bundespressekonferenz vom 03.11.2020 2020 (Teilnahme von Herrn Schaade)</w:t>
            </w:r>
          </w:p>
          <w:p>
            <w:pPr>
              <w:pStyle w:val="Listenabsatz"/>
              <w:numPr>
                <w:ilvl w:val="0"/>
                <w:numId w:val="25"/>
              </w:numPr>
              <w:ind w:left="4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Keine weiteren Themen zu besprechen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Thaiss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(Glasmacher)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Neues aus dem BMG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Nicht besprochen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RKI-Strategie Fragen</w:t>
            </w:r>
          </w:p>
          <w:p>
            <w:pPr>
              <w:pStyle w:val="Listenabsatz"/>
              <w:numPr>
                <w:ilvl w:val="0"/>
                <w:numId w:val="6"/>
              </w:numPr>
              <w:spacing w:line="276" w:lineRule="auto"/>
              <w:ind w:left="340" w:hanging="340"/>
              <w:rPr>
                <w:b/>
                <w:sz w:val="22"/>
              </w:rPr>
            </w:pPr>
            <w:r>
              <w:rPr>
                <w:b/>
                <w:sz w:val="22"/>
              </w:rPr>
              <w:t>Allgemein</w:t>
            </w:r>
          </w:p>
          <w:p>
            <w:pPr>
              <w:pStyle w:val="Listenabsatz"/>
              <w:numPr>
                <w:ilvl w:val="0"/>
                <w:numId w:val="6"/>
              </w:numPr>
              <w:spacing w:after="120" w:line="276" w:lineRule="auto"/>
              <w:ind w:left="340" w:hanging="340"/>
              <w:rPr>
                <w:i/>
                <w:sz w:val="22"/>
                <w:szCs w:val="22"/>
              </w:rPr>
            </w:pPr>
            <w:r>
              <w:rPr>
                <w:b/>
                <w:sz w:val="22"/>
              </w:rPr>
              <w:t>RKI-intern</w:t>
            </w:r>
          </w:p>
          <w:p>
            <w:pPr>
              <w:pStyle w:val="Listenabsatz"/>
              <w:numPr>
                <w:ilvl w:val="0"/>
                <w:numId w:val="26"/>
              </w:numPr>
              <w:spacing w:after="200"/>
            </w:pPr>
            <w:r>
              <w:t>Erklärung zum sinkenden R-Wert:</w:t>
            </w:r>
          </w:p>
          <w:p>
            <w:pPr>
              <w:spacing w:after="200"/>
            </w:pPr>
            <w:r>
              <w:t>Gestern lautete der Text in der Allgemeinen Einordnung vorne:</w:t>
            </w:r>
          </w:p>
          <w:p>
            <w:pPr>
              <w:spacing w:after="200"/>
            </w:pPr>
            <w:r>
              <w:t xml:space="preserve">Vorschlag: </w:t>
            </w:r>
          </w:p>
          <w:p>
            <w:pPr>
              <w:spacing w:after="200"/>
            </w:pPr>
            <w:r>
              <w:t>" In den letzten Tagen hat der R-Wert abgenommen; er liegt heute ungefähr bei 1. Das bedeutet, dass im Durchschnitt jede Person, die mit SARS-CoV-2 infiziert ist, eine weitere Person ansteckt. Da die Zahl der infizierten Personen derzeit in Deutschland sehr hoch ist, bedeutet dies weiterhin eine hohe Zahl von täglichen Neuerkrankungen."</w:t>
            </w:r>
          </w:p>
          <w:p>
            <w:pPr>
              <w:spacing w:after="200"/>
              <w:rPr>
                <w:b/>
                <w:highlight w:val="yellow"/>
                <w:u w:val="single"/>
              </w:rPr>
            </w:pPr>
            <w:r>
              <w:rPr>
                <w:b/>
                <w:highlight w:val="yellow"/>
                <w:u w:val="single"/>
              </w:rPr>
              <w:t>Der Beschluss: Bleibt unverändert.</w:t>
            </w:r>
          </w:p>
          <w:p>
            <w:pPr>
              <w:pStyle w:val="Listenabsatz"/>
              <w:numPr>
                <w:ilvl w:val="0"/>
                <w:numId w:val="3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rein fachliche Abhandlung ist nicht möglich</w:t>
            </w:r>
          </w:p>
          <w:p>
            <w:pPr>
              <w:pStyle w:val="Listenabsatz"/>
              <w:numPr>
                <w:ilvl w:val="0"/>
                <w:numId w:val="3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konservative Verhalten wird bevorzugt (sonst entsteht falsche Botschaft zum falschen Zeitpunkt)</w:t>
            </w:r>
          </w:p>
          <w:p>
            <w:pPr>
              <w:pStyle w:val="Listenabsatz"/>
              <w:numPr>
                <w:ilvl w:val="0"/>
                <w:numId w:val="3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zunächst Teillockdown erst einmal wirken lassen</w:t>
            </w:r>
          </w:p>
          <w:p>
            <w:pPr>
              <w:pStyle w:val="Listenabsatz"/>
              <w:numPr>
                <w:ilvl w:val="0"/>
                <w:numId w:val="3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starke Regionalität (dauert länger bis es ganz Deutschland erfasst hat)</w:t>
            </w:r>
          </w:p>
          <w:p>
            <w:pPr>
              <w:pStyle w:val="Listenabsatz"/>
              <w:numPr>
                <w:ilvl w:val="0"/>
                <w:numId w:val="3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Maßzahlen sind politisch</w:t>
            </w:r>
          </w:p>
          <w:p>
            <w:pPr>
              <w:pStyle w:val="Listenabsatz"/>
              <w:numPr>
                <w:ilvl w:val="0"/>
                <w:numId w:val="3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Es muss überlegt werden welche Maßzahlen – das war der Arbeitsauftrag von Herrn Schaade</w:t>
            </w:r>
          </w:p>
          <w:p>
            <w:pPr>
              <w:pStyle w:val="Listenabsatz"/>
              <w:numPr>
                <w:ilvl w:val="0"/>
                <w:numId w:val="3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Rechtzeitig Deeskalationskriterien überlegen</w:t>
            </w:r>
          </w:p>
          <w:p>
            <w:pPr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ToDo</w:t>
            </w:r>
            <w:proofErr w:type="spellEnd"/>
            <w:r>
              <w:rPr>
                <w:i/>
                <w:sz w:val="22"/>
                <w:szCs w:val="22"/>
              </w:rPr>
              <w:t>: in Deeskalationsrunde nochmals diskutieren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FG34 (</w:t>
            </w:r>
            <w:proofErr w:type="gramStart"/>
            <w:r>
              <w:rPr>
                <w:sz w:val="22"/>
                <w:szCs w:val="22"/>
              </w:rPr>
              <w:t>an der Heiden</w:t>
            </w:r>
            <w:proofErr w:type="gramEnd"/>
            <w:r>
              <w:rPr>
                <w:sz w:val="22"/>
                <w:szCs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Abt.1 (Mielke)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 (Buda)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 (Glasmacher)</w:t>
            </w:r>
          </w:p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Präs</w:t>
            </w:r>
            <w:proofErr w:type="spellEnd"/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 (Buda)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 34 (</w:t>
            </w:r>
            <w:proofErr w:type="gramStart"/>
            <w:r>
              <w:rPr>
                <w:sz w:val="22"/>
                <w:szCs w:val="22"/>
              </w:rPr>
              <w:t>an der Heiden</w:t>
            </w:r>
            <w:proofErr w:type="gramEnd"/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8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Dokumente</w:t>
            </w:r>
          </w:p>
          <w:p>
            <w:pPr>
              <w:pStyle w:val="Listenabsatz"/>
              <w:numPr>
                <w:ilvl w:val="0"/>
                <w:numId w:val="26"/>
              </w:numPr>
              <w:spacing w:line="276" w:lineRule="auto"/>
              <w:ind w:left="473"/>
              <w:rPr>
                <w:b/>
                <w:sz w:val="28"/>
              </w:rPr>
            </w:pPr>
            <w:r>
              <w:rPr>
                <w:sz w:val="22"/>
                <w:szCs w:val="22"/>
              </w:rPr>
              <w:t>Nicht besprochen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Update Impfen </w:t>
            </w:r>
            <w:r>
              <w:rPr>
                <w:b/>
                <w:color w:val="FF0000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Nicht besprochen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Labordiagnostik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</w:rPr>
              <w:t>Sensitivität des Sentinel</w:t>
            </w:r>
          </w:p>
          <w:p>
            <w:pPr>
              <w:pStyle w:val="Listenabsatz"/>
              <w:numPr>
                <w:ilvl w:val="0"/>
                <w:numId w:val="27"/>
              </w:numPr>
              <w:ind w:left="9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Seit MW 43 extrem niedriges Probenaufkommen – steht im Widerspruch zu Arztkonsultationen (Telefonberatung von Arztpraxen)</w:t>
            </w:r>
          </w:p>
          <w:p>
            <w:pPr>
              <w:pStyle w:val="Listenabsatz"/>
              <w:numPr>
                <w:ilvl w:val="0"/>
                <w:numId w:val="27"/>
              </w:numPr>
              <w:ind w:left="9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Soll stärker aufgeklärt werden, denn ein repräsentatives Sentinel ist sehr wichtig!</w:t>
            </w:r>
          </w:p>
          <w:p>
            <w:pPr>
              <w:pStyle w:val="Listenabsatz"/>
              <w:numPr>
                <w:ilvl w:val="0"/>
                <w:numId w:val="27"/>
              </w:numPr>
              <w:ind w:left="9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Hohe Zirkulation von </w:t>
            </w:r>
            <w:proofErr w:type="spellStart"/>
            <w:r>
              <w:rPr>
                <w:sz w:val="22"/>
                <w:szCs w:val="22"/>
              </w:rPr>
              <w:t>Renoviren</w:t>
            </w:r>
            <w:proofErr w:type="spellEnd"/>
          </w:p>
          <w:p>
            <w:pPr>
              <w:pStyle w:val="Listenabsatz"/>
              <w:numPr>
                <w:ilvl w:val="0"/>
                <w:numId w:val="27"/>
              </w:numPr>
              <w:ind w:left="9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SARS-COV-2 Nachweise am Freitag (30.10.) und am Montag (02.11.): 1 Sentinel und 1 Krankenhaus-Surveillance (Berlin Buch)</w:t>
            </w:r>
          </w:p>
          <w:p>
            <w:pPr>
              <w:pStyle w:val="Listenabsatz"/>
              <w:numPr>
                <w:ilvl w:val="0"/>
                <w:numId w:val="27"/>
              </w:numPr>
              <w:ind w:left="9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Überlegung den Service zu erhöhen, z.B. in Form von Kurierdiensten</w:t>
            </w:r>
          </w:p>
          <w:p>
            <w:pPr>
              <w:pStyle w:val="Listenabsatz"/>
              <w:ind w:left="453"/>
              <w:rPr>
                <w:sz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FG17 (Dürrwald)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Klinisches Management/Entlassungsmanagement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Frankreich hat angefragt, ob 40 Patienten in deutsche KH verlegt werden können. </w:t>
            </w:r>
          </w:p>
          <w:p>
            <w:pPr>
              <w:pStyle w:val="Listenabsatz"/>
              <w:numPr>
                <w:ilvl w:val="1"/>
                <w:numId w:val="5"/>
              </w:numPr>
              <w:ind w:left="907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gibt hierzu ein mit den Ländern abgestimmtes Verfahren (EWRS Verweis)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Konferenz mit den BL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Patienten treffen in Tranchen ein: in dieser Woche werden 4 Patienten nach NRW verlegt, nächste Woche werden 10 Patienten nach Schleswig-Holstein verlegt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Dynamik auf Intensivstationen ist hoch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Prognose: einige BL könnten an ihre Kapazitätsgrenzen gelangen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IBBS  (</w:t>
            </w:r>
            <w:proofErr w:type="gramEnd"/>
            <w:r>
              <w:rPr>
                <w:sz w:val="22"/>
                <w:szCs w:val="22"/>
              </w:rPr>
              <w:t>Herzog)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Maßnahmen zum Infektionsschutz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t xml:space="preserve">Besteht die Möglichkeit mehr Informationen zu älteren Menschen zu erhalten, hierbei im Fokus der Vergleich zwischen zuhause lebende ältere Menschen / im KH oder Pflegeeinrichtung lebende ältere Menschen 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Notwendigkeit ist deutlich, allerdings lässt sich diese Frage schwer interpretieren, denn es fehlt der Nenner (wie viele Menschen leben nicht in Altenheimen) – sehr zeitaufwendig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 (Haase)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Surveillance</w:t>
            </w:r>
          </w:p>
          <w:p>
            <w:pPr>
              <w:pStyle w:val="Listenabsatz"/>
              <w:numPr>
                <w:ilvl w:val="0"/>
                <w:numId w:val="31"/>
              </w:numPr>
              <w:spacing w:line="276" w:lineRule="auto"/>
              <w:ind w:left="473"/>
              <w:rPr>
                <w:b/>
                <w:sz w:val="22"/>
              </w:rPr>
            </w:pPr>
            <w:r>
              <w:rPr>
                <w:sz w:val="22"/>
              </w:rPr>
              <w:t>Papier zu FFP2 Masken</w:t>
            </w:r>
          </w:p>
          <w:p>
            <w:pPr>
              <w:pStyle w:val="Listenabsatz"/>
              <w:numPr>
                <w:ilvl w:val="0"/>
                <w:numId w:val="31"/>
              </w:numPr>
              <w:spacing w:line="276" w:lineRule="auto"/>
              <w:ind w:left="473"/>
              <w:rPr>
                <w:b/>
                <w:sz w:val="22"/>
              </w:rPr>
            </w:pPr>
            <w:r>
              <w:rPr>
                <w:sz w:val="22"/>
              </w:rPr>
              <w:t xml:space="preserve">DGHM Internetseite: Infektionsprävention durch das Tragen von Masken - eine Gemeinsame Stellungnahme von DGHM und </w:t>
            </w:r>
            <w:proofErr w:type="spellStart"/>
            <w:r>
              <w:rPr>
                <w:sz w:val="22"/>
              </w:rPr>
              <w:t>GfV</w:t>
            </w:r>
            <w:proofErr w:type="spellEnd"/>
            <w:r>
              <w:rPr>
                <w:sz w:val="22"/>
              </w:rPr>
              <w:t xml:space="preserve"> vom 4. November 2020, (</w:t>
            </w:r>
            <w:hyperlink r:id="rId13" w:history="1">
              <w:r>
                <w:rPr>
                  <w:rStyle w:val="Hyperlink"/>
                  <w:sz w:val="22"/>
                </w:rPr>
                <w:t>Dokument hier</w:t>
              </w:r>
            </w:hyperlink>
            <w:r>
              <w:rPr>
                <w:sz w:val="22"/>
              </w:rPr>
              <w:t>)</w:t>
            </w:r>
          </w:p>
          <w:p>
            <w:pPr>
              <w:pStyle w:val="Listenabsatz"/>
              <w:numPr>
                <w:ilvl w:val="0"/>
                <w:numId w:val="31"/>
              </w:numPr>
              <w:spacing w:line="276" w:lineRule="auto"/>
              <w:ind w:left="473"/>
              <w:rPr>
                <w:b/>
                <w:sz w:val="22"/>
              </w:rPr>
            </w:pPr>
            <w:r>
              <w:rPr>
                <w:sz w:val="22"/>
              </w:rPr>
              <w:lastRenderedPageBreak/>
              <w:t>Fremdschutzmaßnahme von FFP2 Masken ist sehr unwahrscheinlich</w:t>
            </w:r>
          </w:p>
          <w:p>
            <w:pPr>
              <w:pStyle w:val="Listenabsatz"/>
              <w:numPr>
                <w:ilvl w:val="0"/>
                <w:numId w:val="31"/>
              </w:numPr>
              <w:spacing w:line="276" w:lineRule="auto"/>
              <w:ind w:left="473"/>
              <w:rPr>
                <w:b/>
                <w:sz w:val="22"/>
              </w:rPr>
            </w:pPr>
            <w:r>
              <w:rPr>
                <w:sz w:val="22"/>
              </w:rPr>
              <w:t>Hinzu kommt: ohne begleitende Anwendung kein sicherer Schutz beim Laien!</w:t>
            </w:r>
          </w:p>
          <w:p>
            <w:pPr>
              <w:pStyle w:val="Listenabsatz"/>
              <w:numPr>
                <w:ilvl w:val="0"/>
                <w:numId w:val="31"/>
              </w:numPr>
              <w:spacing w:line="276" w:lineRule="auto"/>
              <w:ind w:left="473"/>
              <w:rPr>
                <w:b/>
                <w:sz w:val="22"/>
              </w:rPr>
            </w:pPr>
            <w:r>
              <w:rPr>
                <w:sz w:val="22"/>
              </w:rPr>
              <w:t>BZgA verzeichnet deutlichen Anstieg von Anfragen auf FFP2 Masken (ob es sinnvoll ist diese generell zu ordern und im Unterricht zu tragen)</w:t>
            </w:r>
          </w:p>
          <w:p>
            <w:pPr>
              <w:pStyle w:val="Listenabsatz"/>
              <w:numPr>
                <w:ilvl w:val="0"/>
                <w:numId w:val="31"/>
              </w:numPr>
              <w:spacing w:line="276" w:lineRule="auto"/>
              <w:ind w:left="473"/>
              <w:rPr>
                <w:b/>
                <w:sz w:val="22"/>
              </w:rPr>
            </w:pPr>
            <w:r>
              <w:rPr>
                <w:sz w:val="22"/>
              </w:rPr>
              <w:t>FAQ zu FFP2 Masken sind in Vorbereitung, damit können viele Fragen vorher „abgefangen“ werden</w:t>
            </w:r>
          </w:p>
          <w:p>
            <w:pPr>
              <w:pStyle w:val="Listenabsatz"/>
              <w:numPr>
                <w:ilvl w:val="0"/>
                <w:numId w:val="31"/>
              </w:numPr>
              <w:spacing w:line="276" w:lineRule="auto"/>
              <w:ind w:left="473"/>
              <w:rPr>
                <w:sz w:val="22"/>
              </w:rPr>
            </w:pPr>
            <w:r>
              <w:rPr>
                <w:sz w:val="22"/>
              </w:rPr>
              <w:t xml:space="preserve">Empfehlungen der </w:t>
            </w:r>
            <w:proofErr w:type="spellStart"/>
            <w:r>
              <w:rPr>
                <w:sz w:val="22"/>
              </w:rPr>
              <w:t>BAuA</w:t>
            </w:r>
            <w:proofErr w:type="spellEnd"/>
            <w:r>
              <w:rPr>
                <w:sz w:val="22"/>
              </w:rPr>
              <w:t xml:space="preserve"> und des ad-Hoc AK „Covid-19“ des ABAS zum Einsatz von Schutzmasken im Zusammenhang mit SARS-CoV-2 (</w:t>
            </w:r>
            <w:hyperlink r:id="rId14" w:history="1">
              <w:r>
                <w:rPr>
                  <w:rStyle w:val="Hyperlink"/>
                  <w:sz w:val="22"/>
                </w:rPr>
                <w:t>Dokument hier</w:t>
              </w:r>
            </w:hyperlink>
            <w:r>
              <w:rPr>
                <w:sz w:val="22"/>
              </w:rPr>
              <w:t>)</w:t>
            </w:r>
          </w:p>
          <w:p>
            <w:pPr>
              <w:pStyle w:val="Listenabsatz"/>
              <w:numPr>
                <w:ilvl w:val="0"/>
                <w:numId w:val="31"/>
              </w:numPr>
              <w:spacing w:line="276" w:lineRule="auto"/>
              <w:ind w:left="473"/>
              <w:rPr>
                <w:b/>
                <w:sz w:val="22"/>
              </w:rPr>
            </w:pPr>
            <w:r>
              <w:rPr>
                <w:sz w:val="22"/>
              </w:rPr>
              <w:t>Allerdings können nicht alle Berufsgruppen angesprochen werden (Aufgabe des Arbeitsschutzes)</w:t>
            </w:r>
          </w:p>
          <w:p>
            <w:pPr>
              <w:pStyle w:val="Listenabsatz"/>
              <w:numPr>
                <w:ilvl w:val="0"/>
                <w:numId w:val="31"/>
              </w:numPr>
              <w:spacing w:line="276" w:lineRule="auto"/>
              <w:ind w:left="473"/>
              <w:rPr>
                <w:b/>
                <w:sz w:val="22"/>
              </w:rPr>
            </w:pPr>
            <w:r>
              <w:rPr>
                <w:sz w:val="22"/>
              </w:rPr>
              <w:t>Stellungnahme des DGKJ zur Maskenpflicht bei Kindern (</w:t>
            </w:r>
            <w:hyperlink r:id="rId15" w:history="1">
              <w:r>
                <w:rPr>
                  <w:rStyle w:val="Hyperlink"/>
                  <w:sz w:val="22"/>
                </w:rPr>
                <w:t>Dokument hier</w:t>
              </w:r>
            </w:hyperlink>
            <w:r>
              <w:rPr>
                <w:sz w:val="22"/>
              </w:rPr>
              <w:t>)</w:t>
            </w:r>
          </w:p>
          <w:p>
            <w:pPr>
              <w:pStyle w:val="Listenabsatz"/>
              <w:numPr>
                <w:ilvl w:val="0"/>
                <w:numId w:val="32"/>
              </w:numPr>
              <w:spacing w:line="276" w:lineRule="auto"/>
              <w:ind w:left="1443"/>
              <w:rPr>
                <w:i/>
                <w:sz w:val="22"/>
              </w:rPr>
            </w:pPr>
            <w:r>
              <w:rPr>
                <w:i/>
                <w:sz w:val="22"/>
              </w:rPr>
              <w:t>Diskussion: sind Aerosol Videos von FFP2 Masken verfügbar (im Besonderen mit Hinweisen zu falscher Handhabung)?</w:t>
            </w:r>
          </w:p>
          <w:p>
            <w:pPr>
              <w:pStyle w:val="Listenabsatz"/>
              <w:numPr>
                <w:ilvl w:val="0"/>
                <w:numId w:val="33"/>
              </w:numPr>
              <w:spacing w:line="276" w:lineRule="auto"/>
              <w:ind w:left="1494"/>
              <w:rPr>
                <w:sz w:val="22"/>
              </w:rPr>
            </w:pPr>
            <w:r>
              <w:rPr>
                <w:sz w:val="22"/>
              </w:rPr>
              <w:t>New York Times Animation</w:t>
            </w:r>
          </w:p>
          <w:p>
            <w:pPr>
              <w:pStyle w:val="Listenabsatz"/>
              <w:numPr>
                <w:ilvl w:val="0"/>
                <w:numId w:val="33"/>
              </w:numPr>
              <w:spacing w:line="276" w:lineRule="auto"/>
              <w:ind w:left="1494"/>
              <w:rPr>
                <w:sz w:val="22"/>
              </w:rPr>
            </w:pPr>
            <w:r>
              <w:rPr>
                <w:sz w:val="22"/>
              </w:rPr>
              <w:t>„Quarks“ Video</w:t>
            </w:r>
          </w:p>
          <w:p>
            <w:pPr>
              <w:pStyle w:val="Listenabsatz"/>
              <w:numPr>
                <w:ilvl w:val="0"/>
                <w:numId w:val="33"/>
              </w:numPr>
              <w:spacing w:line="276" w:lineRule="auto"/>
              <w:ind w:left="1494"/>
              <w:rPr>
                <w:sz w:val="22"/>
              </w:rPr>
            </w:pPr>
            <w:r>
              <w:rPr>
                <w:sz w:val="22"/>
              </w:rPr>
              <w:t>„Sendung mit der Maus“</w:t>
            </w:r>
          </w:p>
          <w:p>
            <w:pPr>
              <w:pStyle w:val="Listenabsatz"/>
              <w:spacing w:line="276" w:lineRule="auto"/>
              <w:ind w:left="1494"/>
              <w:rPr>
                <w:sz w:val="22"/>
              </w:rPr>
            </w:pPr>
          </w:p>
          <w:p>
            <w:pPr>
              <w:pStyle w:val="Listenabsatz"/>
              <w:numPr>
                <w:ilvl w:val="0"/>
                <w:numId w:val="32"/>
              </w:numPr>
              <w:spacing w:line="276" w:lineRule="auto"/>
              <w:rPr>
                <w:i/>
                <w:sz w:val="22"/>
              </w:rPr>
            </w:pPr>
            <w:r>
              <w:rPr>
                <w:i/>
                <w:sz w:val="22"/>
              </w:rPr>
              <w:t>Diskussion: Kontakte zur Berufsgenossenschaft der Lehrer? Inwiefern gehören Lehrer zur Risikogruppe?</w:t>
            </w:r>
          </w:p>
          <w:p>
            <w:pPr>
              <w:pStyle w:val="Listenabsatz"/>
              <w:numPr>
                <w:ilvl w:val="0"/>
                <w:numId w:val="34"/>
              </w:numPr>
              <w:spacing w:line="276" w:lineRule="auto"/>
              <w:ind w:left="1494"/>
              <w:rPr>
                <w:i/>
                <w:sz w:val="22"/>
              </w:rPr>
            </w:pPr>
            <w:r>
              <w:rPr>
                <w:sz w:val="22"/>
              </w:rPr>
              <w:t xml:space="preserve">Herr Haas wird die Frage dazu in Telefontermin mitnehmen und zeitnahe Rückmeldung geben </w:t>
            </w:r>
          </w:p>
          <w:p>
            <w:pPr>
              <w:pStyle w:val="Listenabsatz"/>
              <w:numPr>
                <w:ilvl w:val="0"/>
                <w:numId w:val="34"/>
              </w:numPr>
              <w:spacing w:line="276" w:lineRule="auto"/>
              <w:ind w:left="1494"/>
              <w:rPr>
                <w:i/>
                <w:sz w:val="22"/>
              </w:rPr>
            </w:pPr>
            <w:r>
              <w:rPr>
                <w:sz w:val="22"/>
              </w:rPr>
              <w:t>Infos von Herrn Renard bezüglich der Krankenrate bei Erziehenden werden zur Verfügung gestellt</w:t>
            </w:r>
          </w:p>
          <w:p>
            <w:pPr>
              <w:spacing w:line="276" w:lineRule="auto"/>
              <w:rPr>
                <w:i/>
                <w:sz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 xml:space="preserve"> </w:t>
            </w:r>
            <w:r>
              <w:rPr>
                <w:sz w:val="22"/>
                <w:szCs w:val="22"/>
              </w:rPr>
              <w:t>Dashboard verzögert aktualisiert</w:t>
            </w:r>
          </w:p>
          <w:p>
            <w:pPr>
              <w:pStyle w:val="Listenabsatz"/>
              <w:numPr>
                <w:ilvl w:val="0"/>
                <w:numId w:val="32"/>
              </w:numPr>
              <w:ind w:left="927"/>
              <w:rPr>
                <w:sz w:val="22"/>
              </w:rPr>
            </w:pPr>
            <w:r>
              <w:rPr>
                <w:sz w:val="22"/>
              </w:rPr>
              <w:t>Das Dashboard ist ausgegraut bis aktuelle Daten zur Verfügung stehen, um Missverständnissen vorzubeugen</w:t>
            </w:r>
          </w:p>
          <w:p>
            <w:pPr>
              <w:pStyle w:val="Listenabsatz"/>
              <w:numPr>
                <w:ilvl w:val="0"/>
                <w:numId w:val="32"/>
              </w:numPr>
              <w:ind w:left="927"/>
              <w:rPr>
                <w:sz w:val="22"/>
              </w:rPr>
            </w:pPr>
            <w:r>
              <w:rPr>
                <w:sz w:val="22"/>
              </w:rPr>
              <w:t>Auf Display absolute Zahl</w:t>
            </w:r>
          </w:p>
          <w:p>
            <w:pPr>
              <w:pStyle w:val="Listenabsatz"/>
              <w:numPr>
                <w:ilvl w:val="0"/>
                <w:numId w:val="32"/>
              </w:numPr>
              <w:ind w:left="927"/>
              <w:rPr>
                <w:sz w:val="22"/>
              </w:rPr>
            </w:pPr>
            <w:r>
              <w:rPr>
                <w:sz w:val="22"/>
              </w:rPr>
              <w:t>Am 05.11.20 Diskussion mit ESRI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rPr>
                <w:sz w:val="22"/>
              </w:rPr>
              <w:t>Falldefinition</w:t>
            </w:r>
          </w:p>
          <w:p>
            <w:pPr>
              <w:pStyle w:val="Listenabsatz"/>
              <w:numPr>
                <w:ilvl w:val="0"/>
                <w:numId w:val="35"/>
              </w:numPr>
              <w:rPr>
                <w:sz w:val="22"/>
              </w:rPr>
            </w:pPr>
            <w:r>
              <w:rPr>
                <w:sz w:val="22"/>
              </w:rPr>
              <w:t>EpiLag: viele Antigentests sind nicht PCR betätigt</w:t>
            </w:r>
          </w:p>
          <w:p>
            <w:pPr>
              <w:pStyle w:val="Listenabsatz"/>
              <w:numPr>
                <w:ilvl w:val="0"/>
                <w:numId w:val="35"/>
              </w:numPr>
              <w:rPr>
                <w:sz w:val="22"/>
              </w:rPr>
            </w:pPr>
            <w:r>
              <w:rPr>
                <w:sz w:val="22"/>
              </w:rPr>
              <w:t>Eventuell sind Änderungen notwendig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rPr>
                <w:sz w:val="22"/>
              </w:rPr>
              <w:t>Datenbereitstellung Tessy (ECDC)</w:t>
            </w:r>
          </w:p>
          <w:p>
            <w:pPr>
              <w:pStyle w:val="Listenabsatz"/>
              <w:numPr>
                <w:ilvl w:val="0"/>
                <w:numId w:val="36"/>
              </w:numPr>
              <w:rPr>
                <w:sz w:val="22"/>
              </w:rPr>
            </w:pPr>
            <w:r>
              <w:rPr>
                <w:sz w:val="22"/>
              </w:rPr>
              <w:t>Übergangslösung gefunden</w:t>
            </w:r>
          </w:p>
          <w:p>
            <w:pPr>
              <w:pStyle w:val="Listenabsatz"/>
              <w:numPr>
                <w:ilvl w:val="0"/>
                <w:numId w:val="36"/>
              </w:numPr>
              <w:rPr>
                <w:sz w:val="22"/>
              </w:rPr>
            </w:pPr>
            <w:r>
              <w:rPr>
                <w:sz w:val="22"/>
              </w:rPr>
              <w:t>Bereitstellung von Testzahlen</w:t>
            </w:r>
          </w:p>
          <w:p>
            <w:pPr>
              <w:pStyle w:val="Listenabsatz"/>
              <w:numPr>
                <w:ilvl w:val="0"/>
                <w:numId w:val="36"/>
              </w:numPr>
              <w:rPr>
                <w:sz w:val="22"/>
              </w:rPr>
            </w:pPr>
            <w:r>
              <w:rPr>
                <w:sz w:val="22"/>
              </w:rPr>
              <w:t>ECDC Telefonkonferenz – europäisch einheitliches Vorgehen</w:t>
            </w:r>
          </w:p>
          <w:p>
            <w:pPr>
              <w:pStyle w:val="Listenabsatz"/>
              <w:ind w:left="833"/>
              <w:rPr>
                <w:sz w:val="22"/>
              </w:rPr>
            </w:pPr>
          </w:p>
          <w:p>
            <w:pPr>
              <w:pStyle w:val="Listenabsatz"/>
              <w:ind w:left="833"/>
              <w:rPr>
                <w:sz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FG37 (Eckmanns)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BZgA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(</w:t>
            </w:r>
            <w:proofErr w:type="spellStart"/>
            <w:r>
              <w:rPr>
                <w:sz w:val="22"/>
                <w:szCs w:val="22"/>
                <w:lang w:val="en-US"/>
              </w:rPr>
              <w:t>Thaiss</w:t>
            </w:r>
            <w:proofErr w:type="spellEnd"/>
            <w:r>
              <w:rPr>
                <w:sz w:val="22"/>
                <w:szCs w:val="22"/>
                <w:lang w:val="en-US"/>
              </w:rPr>
              <w:t>)</w:t>
            </w: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FG14 (Brunke)</w:t>
            </w: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  <w:lang w:val="en-US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 (Haas)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Präs</w:t>
            </w:r>
            <w:proofErr w:type="spellEnd"/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 (</w:t>
            </w:r>
            <w:proofErr w:type="spellStart"/>
            <w:r>
              <w:rPr>
                <w:sz w:val="22"/>
                <w:szCs w:val="22"/>
              </w:rPr>
              <w:t>Thaiss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FG14 (Brunke)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Abt1 (Mielke)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 (Haas / Buda)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 (</w:t>
            </w:r>
            <w:proofErr w:type="spellStart"/>
            <w:r>
              <w:rPr>
                <w:sz w:val="22"/>
                <w:szCs w:val="22"/>
              </w:rPr>
              <w:t>Diecke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14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Transport und Grenzübergangsstellen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rPr>
                <w:sz w:val="22"/>
              </w:rPr>
              <w:t>Bitte an Herrn Wieler im Gespräch mit BMG nach Personal und Sachmitteln zu insistieren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Rückmeldung dazu von </w:t>
            </w:r>
            <w:proofErr w:type="spellStart"/>
            <w:r>
              <w:rPr>
                <w:sz w:val="22"/>
              </w:rPr>
              <w:t>Präs</w:t>
            </w:r>
            <w:proofErr w:type="spellEnd"/>
            <w:r>
              <w:rPr>
                <w:sz w:val="22"/>
              </w:rPr>
              <w:t>/</w:t>
            </w:r>
            <w:proofErr w:type="spellStart"/>
            <w:r>
              <w:rPr>
                <w:sz w:val="22"/>
              </w:rPr>
              <w:t>VPräs</w:t>
            </w:r>
            <w:proofErr w:type="spellEnd"/>
            <w:r>
              <w:rPr>
                <w:sz w:val="22"/>
              </w:rPr>
              <w:t xml:space="preserve"> erfolgt zeitnah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rPr>
                <w:sz w:val="22"/>
              </w:rPr>
              <w:t>Sprechzettel in Vorbereitung (Tendenzen des BMG beachten, FF Herr Minister Spahn)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 (An der Heiden)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Präs</w:t>
            </w:r>
            <w:proofErr w:type="spellEnd"/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15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Information aus dem Lagezentrum 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Wegen ausgelasteter Server noch immer Probleme im LZ mit Outlook, auch Team Internationales zeitweise kaum arbeitsfähig, ZV4 ist informiert, Problem muss dringend gelöst werden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 (An der Heiden)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Wichtige Termine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Gesundheitsausschuss</w:t>
            </w:r>
            <w:proofErr w:type="spellEnd"/>
            <w:r>
              <w:rPr>
                <w:sz w:val="22"/>
                <w:szCs w:val="22"/>
                <w:lang w:val="en-US"/>
              </w:rPr>
              <w:t>, Herr Schaade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WHO IHR Review Committee, Herr Wieler (</w:t>
            </w:r>
            <w:proofErr w:type="spellStart"/>
            <w:r>
              <w:rPr>
                <w:sz w:val="22"/>
                <w:szCs w:val="22"/>
                <w:lang w:val="en-US"/>
              </w:rPr>
              <w:t>dienstags</w:t>
            </w:r>
            <w:proofErr w:type="spellEnd"/>
            <w:r>
              <w:rPr>
                <w:sz w:val="22"/>
                <w:szCs w:val="22"/>
                <w:lang w:val="en-US"/>
              </w:rPr>
              <w:t>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IANPHI lessons learned, Herr Wieler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Vorträge vor </w:t>
            </w:r>
            <w:proofErr w:type="spellStart"/>
            <w:r>
              <w:rPr>
                <w:sz w:val="22"/>
                <w:szCs w:val="22"/>
              </w:rPr>
              <w:t>Rehaforum</w:t>
            </w:r>
            <w:proofErr w:type="spellEnd"/>
            <w:r>
              <w:rPr>
                <w:sz w:val="22"/>
                <w:szCs w:val="22"/>
              </w:rPr>
              <w:t>, Frau Diercke, Herr Eckmanns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Andere Themen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Nächste Sitzung: Freitag, 06.11.2020, 11:00 Uhr, via </w:t>
            </w:r>
            <w:proofErr w:type="spellStart"/>
            <w:r>
              <w:rPr>
                <w:sz w:val="22"/>
                <w:szCs w:val="22"/>
              </w:rPr>
              <w:t>Webex</w:t>
            </w:r>
            <w:proofErr w:type="spellEnd"/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after="240" w:line="360" w:lineRule="auto"/>
      </w:pPr>
    </w:p>
    <w:p>
      <w:pPr>
        <w:spacing w:after="240" w:line="360" w:lineRule="auto"/>
      </w:pPr>
    </w:p>
    <w:sectPr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  <w:endnote w:type="continuationNotice" w:id="1">
    <w:p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ind w:right="360"/>
      <w:rPr>
        <w:i/>
        <w:color w:val="7F7F7F" w:themeColor="text1" w:themeTint="80"/>
      </w:rPr>
    </w:pPr>
    <w:r>
      <w:rPr>
        <w:i/>
        <w:color w:val="7F7F7F" w:themeColor="text1" w:themeTint="80"/>
      </w:rPr>
      <w:tab/>
      <w:t xml:space="preserve">                                                                                                                              </w:t>
    </w:r>
    <w:bookmarkStart w:id="0" w:name="_GoBack"/>
    <w:bookmarkEnd w:id="0"/>
    <w:r>
      <w:rPr>
        <w:i/>
        <w:color w:val="7F7F7F" w:themeColor="text1" w:themeTint="80"/>
      </w:rPr>
      <w:t xml:space="preserve">Seite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PAGE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1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 xml:space="preserve"> von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NUMPAGES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2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  <w:footnote w:type="continuationNotice" w:id="1">
    <w:p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tabs>
        <w:tab w:val="left" w:pos="1478"/>
        <w:tab w:val="left" w:pos="8565"/>
      </w:tabs>
      <w:jc w:val="center"/>
      <w:rPr>
        <w:color w:val="A6A6A6" w:themeColor="background1" w:themeShade="A6"/>
        <w:sz w:val="28"/>
      </w:rPr>
    </w:pPr>
    <w:r>
      <w:rPr>
        <w:noProof/>
        <w:color w:val="A6A6A6" w:themeColor="background1" w:themeShade="A6"/>
        <w:sz w:val="28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4635500</wp:posOffset>
          </wp:positionH>
          <wp:positionV relativeFrom="margin">
            <wp:posOffset>-795655</wp:posOffset>
          </wp:positionV>
          <wp:extent cx="1574800" cy="465455"/>
          <wp:effectExtent l="0" t="0" r="6350" b="0"/>
          <wp:wrapSquare wrapText="bothSides"/>
          <wp:docPr id="1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465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>
      <w:rPr>
        <w:rFonts w:ascii="Arial" w:hAnsi="Arial" w:cs="Arial"/>
        <w:i/>
        <w:color w:val="A6A6A6" w:themeColor="background1" w:themeShade="A6"/>
        <w:sz w:val="20"/>
        <w:szCs w:val="22"/>
      </w:rPr>
      <w:t>VS – NUR FÜR DEN DIENSTGEBRAUCH</w:t>
    </w:r>
  </w:p>
  <w:p>
    <w:pPr>
      <w:pStyle w:val="Kopfzeile"/>
      <w:pBdr>
        <w:bottom w:val="single" w:sz="6" w:space="1" w:color="auto"/>
      </w:pBdr>
      <w:rPr>
        <w:color w:val="1F497D" w:themeColor="text2"/>
      </w:rPr>
    </w:pP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Lagezentrum des RKI </w:t>
    </w:r>
    <w:r>
      <w:rPr>
        <w:color w:val="1F497D" w:themeColor="text2"/>
      </w:rPr>
      <w:tab/>
    </w:r>
    <w:r>
      <w:rPr>
        <w:color w:val="1F497D" w:themeColor="text2"/>
      </w:rPr>
      <w:tab/>
      <w:t>Protokoll des COVID-19-Krisenstabs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2306D"/>
    <w:multiLevelType w:val="hybridMultilevel"/>
    <w:tmpl w:val="E822DEFE"/>
    <w:lvl w:ilvl="0" w:tplc="04070003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1" w15:restartNumberingAfterBreak="0">
    <w:nsid w:val="0E3F40BC"/>
    <w:multiLevelType w:val="hybridMultilevel"/>
    <w:tmpl w:val="715A17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40253"/>
    <w:multiLevelType w:val="hybridMultilevel"/>
    <w:tmpl w:val="B0D42EF6"/>
    <w:lvl w:ilvl="0" w:tplc="04070003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93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5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7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9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8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5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71" w:hanging="360"/>
      </w:pPr>
      <w:rPr>
        <w:rFonts w:ascii="Wingdings" w:hAnsi="Wingdings" w:hint="default"/>
      </w:rPr>
    </w:lvl>
  </w:abstractNum>
  <w:abstractNum w:abstractNumId="3" w15:restartNumberingAfterBreak="0">
    <w:nsid w:val="10780C93"/>
    <w:multiLevelType w:val="hybridMultilevel"/>
    <w:tmpl w:val="31C26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812AE"/>
    <w:multiLevelType w:val="hybridMultilevel"/>
    <w:tmpl w:val="A76089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A54C7A"/>
    <w:multiLevelType w:val="hybridMultilevel"/>
    <w:tmpl w:val="6B3A23EE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B70B64"/>
    <w:multiLevelType w:val="hybridMultilevel"/>
    <w:tmpl w:val="428455A4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D7F4BD2"/>
    <w:multiLevelType w:val="hybridMultilevel"/>
    <w:tmpl w:val="E0FEF4B2"/>
    <w:lvl w:ilvl="0" w:tplc="04070003">
      <w:start w:val="1"/>
      <w:numFmt w:val="bullet"/>
      <w:lvlText w:val="o"/>
      <w:lvlJc w:val="left"/>
      <w:pPr>
        <w:ind w:left="833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8" w15:restartNumberingAfterBreak="0">
    <w:nsid w:val="22DF003E"/>
    <w:multiLevelType w:val="hybridMultilevel"/>
    <w:tmpl w:val="0E5C30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EB3550"/>
    <w:multiLevelType w:val="hybridMultilevel"/>
    <w:tmpl w:val="E7449F6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C426A"/>
    <w:multiLevelType w:val="hybridMultilevel"/>
    <w:tmpl w:val="32566E26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B397807"/>
    <w:multiLevelType w:val="hybridMultilevel"/>
    <w:tmpl w:val="8A38F1E6"/>
    <w:lvl w:ilvl="0" w:tplc="B970B08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3D8206C"/>
    <w:multiLevelType w:val="hybridMultilevel"/>
    <w:tmpl w:val="08C6D27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6B7E01"/>
    <w:multiLevelType w:val="hybridMultilevel"/>
    <w:tmpl w:val="99A6DB46"/>
    <w:lvl w:ilvl="0" w:tplc="04070003">
      <w:start w:val="1"/>
      <w:numFmt w:val="bullet"/>
      <w:lvlText w:val="o"/>
      <w:lvlJc w:val="left"/>
      <w:pPr>
        <w:ind w:left="915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4" w15:restartNumberingAfterBreak="0">
    <w:nsid w:val="3AE80B90"/>
    <w:multiLevelType w:val="hybridMultilevel"/>
    <w:tmpl w:val="9A483FB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D75E78"/>
    <w:multiLevelType w:val="hybridMultilevel"/>
    <w:tmpl w:val="CEF64358"/>
    <w:lvl w:ilvl="0" w:tplc="04070005">
      <w:start w:val="1"/>
      <w:numFmt w:val="bullet"/>
      <w:lvlText w:val=""/>
      <w:lvlJc w:val="left"/>
      <w:pPr>
        <w:ind w:left="1647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6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D81309C"/>
    <w:multiLevelType w:val="hybridMultilevel"/>
    <w:tmpl w:val="F4CE3A90"/>
    <w:lvl w:ilvl="0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F240B22"/>
    <w:multiLevelType w:val="hybridMultilevel"/>
    <w:tmpl w:val="B1E6744A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FBC499C"/>
    <w:multiLevelType w:val="hybridMultilevel"/>
    <w:tmpl w:val="6F7454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03638E"/>
    <w:multiLevelType w:val="hybridMultilevel"/>
    <w:tmpl w:val="F4EA35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7F109E"/>
    <w:multiLevelType w:val="hybridMultilevel"/>
    <w:tmpl w:val="6AE8BD9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B4733A"/>
    <w:multiLevelType w:val="hybridMultilevel"/>
    <w:tmpl w:val="6FEA03E2"/>
    <w:lvl w:ilvl="0" w:tplc="04070003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9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33" w:hanging="360"/>
      </w:pPr>
      <w:rPr>
        <w:rFonts w:ascii="Wingdings" w:hAnsi="Wingdings" w:hint="default"/>
      </w:rPr>
    </w:lvl>
  </w:abstractNum>
  <w:abstractNum w:abstractNumId="23" w15:restartNumberingAfterBreak="0">
    <w:nsid w:val="44FA7CE3"/>
    <w:multiLevelType w:val="hybridMultilevel"/>
    <w:tmpl w:val="F3521064"/>
    <w:lvl w:ilvl="0" w:tplc="0407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 w15:restartNumberingAfterBreak="0">
    <w:nsid w:val="4B095C62"/>
    <w:multiLevelType w:val="hybridMultilevel"/>
    <w:tmpl w:val="D916A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DA38EE"/>
    <w:multiLevelType w:val="hybridMultilevel"/>
    <w:tmpl w:val="96109080"/>
    <w:lvl w:ilvl="0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54D10A8A"/>
    <w:multiLevelType w:val="hybridMultilevel"/>
    <w:tmpl w:val="29E0D7EC"/>
    <w:lvl w:ilvl="0" w:tplc="381AA97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5F0180D"/>
    <w:multiLevelType w:val="hybridMultilevel"/>
    <w:tmpl w:val="EFD8DD6C"/>
    <w:lvl w:ilvl="0" w:tplc="188AD2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7D034E"/>
    <w:multiLevelType w:val="hybridMultilevel"/>
    <w:tmpl w:val="F7DA0E30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F73189B"/>
    <w:multiLevelType w:val="hybridMultilevel"/>
    <w:tmpl w:val="41EA01AC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6B865CB"/>
    <w:multiLevelType w:val="hybridMultilevel"/>
    <w:tmpl w:val="E17863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5F7BE9"/>
    <w:multiLevelType w:val="hybridMultilevel"/>
    <w:tmpl w:val="F0429F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4E1C98"/>
    <w:multiLevelType w:val="hybridMultilevel"/>
    <w:tmpl w:val="4FF4B844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2627DD"/>
    <w:multiLevelType w:val="hybridMultilevel"/>
    <w:tmpl w:val="2A3ED2B6"/>
    <w:lvl w:ilvl="0" w:tplc="04070003">
      <w:start w:val="1"/>
      <w:numFmt w:val="bullet"/>
      <w:lvlText w:val="o"/>
      <w:lvlJc w:val="left"/>
      <w:pPr>
        <w:ind w:left="833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34" w15:restartNumberingAfterBreak="0">
    <w:nsid w:val="74E4119D"/>
    <w:multiLevelType w:val="hybridMultilevel"/>
    <w:tmpl w:val="B630F8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682E10"/>
    <w:multiLevelType w:val="hybridMultilevel"/>
    <w:tmpl w:val="B9521A56"/>
    <w:lvl w:ilvl="0" w:tplc="0407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6" w15:restartNumberingAfterBreak="0">
    <w:nsid w:val="7DFC76D8"/>
    <w:multiLevelType w:val="hybridMultilevel"/>
    <w:tmpl w:val="55D8A42A"/>
    <w:lvl w:ilvl="0" w:tplc="6570FA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CA4B3A"/>
    <w:multiLevelType w:val="hybridMultilevel"/>
    <w:tmpl w:val="511E4FA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3"/>
  </w:num>
  <w:num w:numId="4">
    <w:abstractNumId w:val="24"/>
  </w:num>
  <w:num w:numId="5">
    <w:abstractNumId w:val="11"/>
  </w:num>
  <w:num w:numId="6">
    <w:abstractNumId w:val="26"/>
  </w:num>
  <w:num w:numId="7">
    <w:abstractNumId w:val="18"/>
  </w:num>
  <w:num w:numId="8">
    <w:abstractNumId w:val="20"/>
  </w:num>
  <w:num w:numId="9">
    <w:abstractNumId w:val="31"/>
  </w:num>
  <w:num w:numId="10">
    <w:abstractNumId w:val="29"/>
  </w:num>
  <w:num w:numId="11">
    <w:abstractNumId w:val="30"/>
  </w:num>
  <w:num w:numId="12">
    <w:abstractNumId w:val="6"/>
  </w:num>
  <w:num w:numId="13">
    <w:abstractNumId w:val="34"/>
  </w:num>
  <w:num w:numId="14">
    <w:abstractNumId w:val="28"/>
  </w:num>
  <w:num w:numId="15">
    <w:abstractNumId w:val="5"/>
  </w:num>
  <w:num w:numId="16">
    <w:abstractNumId w:val="13"/>
  </w:num>
  <w:num w:numId="17">
    <w:abstractNumId w:val="23"/>
  </w:num>
  <w:num w:numId="18">
    <w:abstractNumId w:val="8"/>
  </w:num>
  <w:num w:numId="19">
    <w:abstractNumId w:val="10"/>
  </w:num>
  <w:num w:numId="20">
    <w:abstractNumId w:val="2"/>
  </w:num>
  <w:num w:numId="21">
    <w:abstractNumId w:val="12"/>
  </w:num>
  <w:num w:numId="22">
    <w:abstractNumId w:val="21"/>
  </w:num>
  <w:num w:numId="23">
    <w:abstractNumId w:val="35"/>
  </w:num>
  <w:num w:numId="24">
    <w:abstractNumId w:val="0"/>
  </w:num>
  <w:num w:numId="25">
    <w:abstractNumId w:val="1"/>
  </w:num>
  <w:num w:numId="26">
    <w:abstractNumId w:val="27"/>
  </w:num>
  <w:num w:numId="27">
    <w:abstractNumId w:val="22"/>
  </w:num>
  <w:num w:numId="28">
    <w:abstractNumId w:val="14"/>
  </w:num>
  <w:num w:numId="29">
    <w:abstractNumId w:val="37"/>
  </w:num>
  <w:num w:numId="30">
    <w:abstractNumId w:val="9"/>
  </w:num>
  <w:num w:numId="31">
    <w:abstractNumId w:val="36"/>
  </w:num>
  <w:num w:numId="32">
    <w:abstractNumId w:val="32"/>
  </w:num>
  <w:num w:numId="33">
    <w:abstractNumId w:val="19"/>
  </w:num>
  <w:num w:numId="34">
    <w:abstractNumId w:val="17"/>
  </w:num>
  <w:num w:numId="35">
    <w:abstractNumId w:val="7"/>
  </w:num>
  <w:num w:numId="36">
    <w:abstractNumId w:val="33"/>
  </w:num>
  <w:num w:numId="37">
    <w:abstractNumId w:val="25"/>
  </w:num>
  <w:num w:numId="38">
    <w:abstractNumId w:val="1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C649FD13-83AA-4C86-A9F1-550F242C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pPr>
      <w:spacing w:after="0"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st">
    <w:name w:val="st"/>
    <w:basedOn w:val="Absatz-Standardschriftart"/>
  </w:style>
  <w:style w:type="character" w:customStyle="1" w:styleId="ListenabsatzZchn">
    <w:name w:val="Listenabsatz Zchn"/>
    <w:basedOn w:val="Absatz-Standardschriftart"/>
    <w:link w:val="Listenabsatz"/>
    <w:uiPriority w:val="34"/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rki.local\daten\Wissdaten\RKI_nCoV-Lage\1.Lagemanagement\1.3.Besprechungen_TKs\1.Lage_AG\2020-11-04_Lage_AG\COVID-19_Internationale_Lage_2020-11-04.pptx" TargetMode="External"/><Relationship Id="rId13" Type="http://schemas.openxmlformats.org/officeDocument/2006/relationships/hyperlink" Target="file:///\\rki.local\daten\Wissdaten\RKI_nCoV-Lage\1.Lagemanagement\1.3.Besprechungen_TKs\1.Lage_AG\2020-11-04_Lage_AG\Masken_DGHM_Stellungnahme-DGHM-und-GfV041120.pd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file:///\\rki.local\daten\Wissdaten\RKI_nCoV-Lage\1.Lagemanagement\1.3.Besprechungen_TKs\1.Lage_AG\2020-11-04_Lage_AG\SARS-CoV-2%20in%20ARS_20201104_Krisenstabssitzung.pptx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rki.local\daten\Wissdaten\RKI_nCoV-Lage\1.Lagemanagement\1.3.Besprechungen_TKs\1.Lage_AG\2020-11-04_Lage_AG\syndrom-ARE-SARI-COVID_bis_KW44_2020_f&#252;r-Krisenstab.pptx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\\rki.local\daten\Wissdaten\RKI_nCoV-Lage\1.Lagemanagement\1.3.Besprechungen_TKs\1.Lage_AG\2020-11-04_Lage_AG\200504_DGKJ_Maskenempfehlung_aktualisiert.pdf" TargetMode="External"/><Relationship Id="rId23" Type="http://schemas.openxmlformats.org/officeDocument/2006/relationships/glossaryDocument" Target="glossary/document.xml"/><Relationship Id="rId10" Type="http://schemas.openxmlformats.org/officeDocument/2006/relationships/hyperlink" Target="file:///\\rki.local\daten\Wissdaten\RKI_nCoV-Lage\1.Lagemanagement\1.3.Besprechungen_TKs\1.Lage_AG\2020-11-04_Lage_AG\Lage-National_2020_11_04.pptx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file:///\\rki.local\daten\Wissdaten\RKI_nCoV-Lage\1.Lagemanagement\1.3.Besprechungen_TKs\1.Lage_AG\2020-11-04_Lage_AG\COVID-19_Internationale_Lage_2020-11-04.pptx" TargetMode="External"/><Relationship Id="rId14" Type="http://schemas.openxmlformats.org/officeDocument/2006/relationships/hyperlink" Target="file:///\\rki.local\daten\Wissdaten\RKI_nCoV-Lage\1.Lagemanagement\1.3.Besprechungen_TKs\1.Lage_AG\2020-11-04_Lage_AG\Schutzmasken_Empfehlung%20der%20BAuA.pdf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72FB-C169-451B-9F2C-6CC7AA307AED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67EC378ADB4363968F76466F399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C18005-6085-43BD-87F3-461643A0F362}"/>
      </w:docPartPr>
      <w:docPartBody>
        <w:p>
          <w:pPr>
            <w:pStyle w:val="0A67EC378ADB4363968F76466F3994ED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73A1FCB61483A80E8B309D8E6A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6C1AF-B266-437F-B9E9-CF0D892561B9}"/>
      </w:docPartPr>
      <w:docPartBody>
        <w:p>
          <w:pPr>
            <w:pStyle w:val="0F773A1FCB61483A80E8B309D8E6A01A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0A67EC378ADB4363968F76466F3994ED">
    <w:name w:val="0A67EC378ADB4363968F76466F3994ED"/>
  </w:style>
  <w:style w:type="paragraph" w:customStyle="1" w:styleId="0F773A1FCB61483A80E8B309D8E6A01A">
    <w:name w:val="0F773A1FCB61483A80E8B309D8E6A0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8E89B-87A3-4B58-9B3B-1E43A9BF9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1940</Words>
  <Characters>12228</Characters>
  <Application>Microsoft Office Word</Application>
  <DocSecurity>0</DocSecurity>
  <Lines>101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14140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 Rexroth</dc:creator>
  <cp:lastModifiedBy>Grote, Ulrike</cp:lastModifiedBy>
  <cp:revision>4</cp:revision>
  <cp:lastPrinted>2020-05-06T16:43:00Z</cp:lastPrinted>
  <dcterms:created xsi:type="dcterms:W3CDTF">2020-11-05T06:08:00Z</dcterms:created>
  <dcterms:modified xsi:type="dcterms:W3CDTF">2021-05-06T13:29:00Z</dcterms:modified>
</cp:coreProperties>
</file>