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1"/>
      </w:pPr>
      <w:r>
        <w:t>Krisenstabssitzung „Neuartiges Coronavirus (COVID-19)“</w:t>
      </w:r>
    </w:p>
    <w:p>
      <w:r>
        <w:t>Ergebnisprotokoll</w:t>
      </w:r>
    </w:p>
    <w:p>
      <w:pPr>
        <w:rPr>
          <w:i/>
        </w:rPr>
      </w:pPr>
      <w:r>
        <w:rPr>
          <w:i/>
        </w:rPr>
        <w:t>(Aktenzeichen: 4.06.02/0024#0014)</w:t>
      </w:r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Anlass: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-1069258484"/>
          <w:placeholder>
            <w:docPart w:val="DefaultPlaceholder_1082065158"/>
          </w:placeholder>
        </w:sdtPr>
        <w:sdtContent>
          <w:sdt>
            <w:sdtPr>
              <w:rPr>
                <w:i/>
                <w:sz w:val="22"/>
              </w:rPr>
              <w:id w:val="334350100"/>
              <w:placeholder>
                <w:docPart w:val="0A67EC378ADB4363968F76466F3994ED"/>
              </w:placeholder>
            </w:sdtPr>
            <w:sdtContent>
              <w:r>
                <w:rPr>
                  <w:sz w:val="22"/>
                </w:rPr>
                <w:t>Neuartiges Coronavirus (COVID-19)</w:t>
              </w:r>
            </w:sdtContent>
          </w:sdt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Datum: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1092433924"/>
          <w:placeholder>
            <w:docPart w:val="DefaultPlaceholder_1082065158"/>
          </w:placeholder>
        </w:sdtPr>
        <w:sdtContent>
          <w:r>
            <w:rPr>
              <w:i/>
              <w:sz w:val="22"/>
            </w:rPr>
            <w:t>27.07.2020, 13:00 Uhr</w:t>
          </w:r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sz w:val="22"/>
        </w:rPr>
      </w:pPr>
      <w:r>
        <w:rPr>
          <w:b/>
          <w:i/>
          <w:sz w:val="22"/>
        </w:rPr>
        <w:t>Sitzungsort:</w:t>
      </w:r>
      <w:r>
        <w:rPr>
          <w:b/>
          <w:i/>
          <w:sz w:val="22"/>
        </w:rPr>
        <w:tab/>
      </w:r>
      <w:r>
        <w:rPr>
          <w:b/>
          <w:i/>
          <w:sz w:val="22"/>
        </w:rPr>
        <w:tab/>
      </w:r>
      <w:sdt>
        <w:sdtPr>
          <w:rPr>
            <w:sz w:val="22"/>
          </w:rPr>
          <w:id w:val="1344203332"/>
          <w:placeholder>
            <w:docPart w:val="0F773A1FCB61483A80E8B309D8E6A01A"/>
          </w:placeholder>
        </w:sdtPr>
        <w:sdtContent>
          <w:r>
            <w:rPr>
              <w:i/>
              <w:sz w:val="22"/>
              <w:szCs w:val="22"/>
            </w:rPr>
            <w:t>Virtueller Konferenzraum Vitero</w:t>
          </w:r>
        </w:sdtContent>
      </w:sdt>
    </w:p>
    <w:p>
      <w:pPr>
        <w:spacing w:after="120"/>
        <w:rPr>
          <w:b/>
          <w:sz w:val="22"/>
        </w:rPr>
      </w:pPr>
      <w:r>
        <w:rPr>
          <w:b/>
          <w:sz w:val="22"/>
        </w:rPr>
        <w:t>Moderation:  Lars Schaade</w:t>
      </w:r>
    </w:p>
    <w:p>
      <w:pPr>
        <w:tabs>
          <w:tab w:val="left" w:pos="6360"/>
        </w:tabs>
        <w:spacing w:after="0"/>
        <w:rPr>
          <w:b/>
          <w:sz w:val="22"/>
        </w:rPr>
      </w:pPr>
      <w:r>
        <w:rPr>
          <w:b/>
          <w:sz w:val="22"/>
        </w:rPr>
        <w:t xml:space="preserve">Teilnehmende: </w:t>
      </w:r>
      <w:r>
        <w:rPr>
          <w:b/>
          <w:sz w:val="22"/>
        </w:rPr>
        <w:tab/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0"/>
        </w:rPr>
      </w:pPr>
      <w:r>
        <w:rPr>
          <w:sz w:val="20"/>
        </w:rPr>
        <w:t>Institutsleitung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Lars Schaade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Lothar Wieler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AL1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Martin Mielke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0"/>
        </w:rPr>
      </w:pPr>
      <w:r>
        <w:rPr>
          <w:sz w:val="20"/>
        </w:rPr>
        <w:t>FG14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Melanie Brunke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FG17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Ralf Dürrwald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FG21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Patrick Schmich</w:t>
      </w:r>
    </w:p>
    <w:p>
      <w:pPr>
        <w:pStyle w:val="Listenabsatz"/>
        <w:numPr>
          <w:ilvl w:val="0"/>
          <w:numId w:val="5"/>
        </w:numPr>
        <w:spacing w:after="0"/>
        <w:contextualSpacing w:val="0"/>
        <w:rPr>
          <w:sz w:val="20"/>
        </w:rPr>
      </w:pPr>
      <w:r>
        <w:rPr>
          <w:sz w:val="20"/>
        </w:rPr>
        <w:t>FG 32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Ute Rexroth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Ariane Halm (Protokoll)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FG36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Silke Buda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FG37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Sebastian Haller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0"/>
        </w:rPr>
      </w:pPr>
      <w:r>
        <w:rPr>
          <w:sz w:val="20"/>
        </w:rPr>
        <w:t>IBBS</w:t>
      </w:r>
    </w:p>
    <w:p>
      <w:pPr>
        <w:pStyle w:val="Listenabsatz"/>
        <w:numPr>
          <w:ilvl w:val="1"/>
          <w:numId w:val="4"/>
        </w:numPr>
        <w:spacing w:after="0"/>
        <w:contextualSpacing w:val="0"/>
        <w:rPr>
          <w:sz w:val="20"/>
        </w:rPr>
      </w:pPr>
      <w:r>
        <w:rPr>
          <w:sz w:val="20"/>
        </w:rPr>
        <w:t>Christian Herzog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0"/>
        </w:rPr>
      </w:pPr>
      <w:r>
        <w:rPr>
          <w:sz w:val="20"/>
        </w:rPr>
        <w:t>P1</w:t>
      </w:r>
    </w:p>
    <w:p>
      <w:pPr>
        <w:pStyle w:val="Listenabsatz"/>
        <w:numPr>
          <w:ilvl w:val="1"/>
          <w:numId w:val="4"/>
        </w:numPr>
        <w:spacing w:after="0"/>
        <w:contextualSpacing w:val="0"/>
        <w:rPr>
          <w:sz w:val="20"/>
        </w:rPr>
      </w:pPr>
      <w:r>
        <w:rPr>
          <w:sz w:val="20"/>
        </w:rPr>
        <w:t>Ines Lein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0"/>
        </w:rPr>
      </w:pPr>
      <w:r>
        <w:rPr>
          <w:sz w:val="20"/>
        </w:rPr>
        <w:t>Presse</w:t>
      </w:r>
    </w:p>
    <w:p>
      <w:pPr>
        <w:pStyle w:val="Listenabsatz"/>
        <w:numPr>
          <w:ilvl w:val="1"/>
          <w:numId w:val="4"/>
        </w:numPr>
        <w:spacing w:after="0"/>
        <w:contextualSpacing w:val="0"/>
        <w:rPr>
          <w:sz w:val="20"/>
        </w:rPr>
      </w:pPr>
      <w:r>
        <w:rPr>
          <w:sz w:val="20"/>
        </w:rPr>
        <w:t>Jamela Seedat</w:t>
      </w:r>
    </w:p>
    <w:p>
      <w:pPr>
        <w:pStyle w:val="Listenabsatz"/>
        <w:numPr>
          <w:ilvl w:val="1"/>
          <w:numId w:val="4"/>
        </w:numPr>
        <w:spacing w:after="0"/>
        <w:contextualSpacing w:val="0"/>
        <w:rPr>
          <w:sz w:val="20"/>
        </w:rPr>
      </w:pPr>
      <w:r>
        <w:rPr>
          <w:sz w:val="20"/>
        </w:rPr>
        <w:t>Susanne Glasmacher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ZBS1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Eva Krause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ZIG1</w:t>
      </w:r>
    </w:p>
    <w:p>
      <w:pPr>
        <w:pStyle w:val="Listenabsatz"/>
        <w:numPr>
          <w:ilvl w:val="1"/>
          <w:numId w:val="4"/>
        </w:numPr>
        <w:spacing w:after="0"/>
        <w:contextualSpacing w:val="0"/>
        <w:rPr>
          <w:sz w:val="20"/>
        </w:rPr>
      </w:pPr>
      <w:r>
        <w:rPr>
          <w:sz w:val="20"/>
        </w:rPr>
        <w:t>Andreas Jansen</w:t>
      </w:r>
    </w:p>
    <w:p>
      <w:pPr>
        <w:pStyle w:val="Listenabsatz"/>
        <w:numPr>
          <w:ilvl w:val="1"/>
          <w:numId w:val="4"/>
        </w:numPr>
        <w:spacing w:after="0"/>
        <w:contextualSpacing w:val="0"/>
        <w:rPr>
          <w:sz w:val="20"/>
        </w:rPr>
      </w:pPr>
      <w:r>
        <w:rPr>
          <w:sz w:val="20"/>
        </w:rPr>
        <w:t>Sarah Esquevin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 xml:space="preserve">BZGA 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Heidrun Thaiss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Bundeswehr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 xml:space="preserve">Katalyn Roßmann 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BMG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0"/>
        </w:rPr>
      </w:pPr>
      <w:r>
        <w:rPr>
          <w:sz w:val="20"/>
        </w:rPr>
        <w:t>Irina Czogiel</w:t>
      </w:r>
    </w:p>
    <w:p>
      <w:pPr>
        <w:spacing w:after="0"/>
        <w:rPr>
          <w:sz w:val="22"/>
          <w:highlight w:val="yellow"/>
        </w:rPr>
      </w:pPr>
    </w:p>
    <w:p/>
    <w:tbl>
      <w:tblPr>
        <w:tblStyle w:val="Tabellenraster"/>
        <w:tblW w:w="8971" w:type="dxa"/>
        <w:tblLayout w:type="fixed"/>
        <w:tblLook w:val="00A0" w:firstRow="1" w:lastRow="0" w:firstColumn="1" w:lastColumn="0" w:noHBand="0" w:noVBand="0"/>
      </w:tblPr>
      <w:tblGrid>
        <w:gridCol w:w="684"/>
        <w:gridCol w:w="6795"/>
        <w:gridCol w:w="1492"/>
      </w:tblGrid>
      <w:tr>
        <w:tc>
          <w:tcPr>
            <w:tcW w:w="684" w:type="dxa"/>
          </w:tcPr>
          <w:p>
            <w:pPr>
              <w:rPr>
                <w:b/>
              </w:rPr>
            </w:pPr>
            <w:r>
              <w:lastRenderedPageBreak/>
              <w:br w:type="page"/>
            </w:r>
            <w:r>
              <w:rPr>
                <w:b/>
              </w:rPr>
              <w:t>TOP</w:t>
            </w:r>
          </w:p>
        </w:tc>
        <w:tc>
          <w:tcPr>
            <w:tcW w:w="6795" w:type="dxa"/>
          </w:tcPr>
          <w:p>
            <w:pPr>
              <w:rPr>
                <w:b/>
              </w:rPr>
            </w:pPr>
            <w:r>
              <w:rPr>
                <w:b/>
              </w:rPr>
              <w:t>Beitrag/Thema</w:t>
            </w:r>
          </w:p>
        </w:tc>
        <w:tc>
          <w:tcPr>
            <w:tcW w:w="1492" w:type="dxa"/>
          </w:tcPr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eingebracht von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Aktuelle Lage </w:t>
            </w:r>
          </w:p>
          <w:p>
            <w:pPr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International 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Trendanalyse international, Maßnahmen (Folien </w:t>
            </w:r>
            <w:hyperlink r:id="rId8" w:history="1">
              <w:r>
                <w:rPr>
                  <w:rStyle w:val="Hyperlink"/>
                  <w:sz w:val="22"/>
                  <w:szCs w:val="22"/>
                </w:rPr>
                <w:t>hier</w:t>
              </w:r>
            </w:hyperlink>
            <w:r>
              <w:rPr>
                <w:sz w:val="22"/>
                <w:szCs w:val="22"/>
              </w:rPr>
              <w:t>), weltweit über 16 Mio. und über 640.000 Todesfälle (4,0%)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Top 10 Länder nach Anzahl neuer Fälle/letzte 7 Tage: wenig neues, Brasilien und Indien abwechselnd auf zweiter Position nach USA, absteigender Trend in Südafrika, Russland, Bangladesch</w:t>
            </w:r>
          </w:p>
          <w:p>
            <w:pPr>
              <w:pStyle w:val="Listenabsatz"/>
              <w:numPr>
                <w:ilvl w:val="1"/>
                <w:numId w:val="44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Länder mit 7-T.-I. &gt;50/100.000 Einw.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Wenig Veränderungen, heute 32 Länder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Europa neu: Bosnien Herzegowina und Moldawien</w:t>
            </w:r>
          </w:p>
          <w:p>
            <w:pPr>
              <w:pStyle w:val="Listenabsatz"/>
              <w:numPr>
                <w:ilvl w:val="1"/>
                <w:numId w:val="44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Afrika –Lage (&gt;700/letzte 7 Tage)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Fälle steigend in Libyen, Senegal, Simbabwe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Wenig Veränderung in den Kurven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Manche Länder führen Maßnahmen wieder ein: z.B. Südafrika heute bis 24.08. erneuter Schulschluss, in Marokko lokale Lockdowns mit Ein- und Ausreise verbot in 8 Städten</w:t>
            </w:r>
          </w:p>
          <w:p>
            <w:pPr>
              <w:pStyle w:val="Listenabsatz"/>
              <w:numPr>
                <w:ilvl w:val="1"/>
                <w:numId w:val="44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Nord- &amp; Südamerika –Lage (&gt;700/letzte 7 Tage)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Paraguay nicht mehr dabei ansonsten gleich, Trend überall steigend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58% der weltweit neuen Fälle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USA: Infektionsgeschehen verschiebt sich in den Südosten, Kalifornien und Florida überholen kumulative Fallzahlen von New York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Brasilien zwischenzeitlich leicht absteigender Trend, nun wieder Anstieg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Kanada ähnlich Westeuropa: Trend leicht steigend, lokal begrenzte Cluster in unterschiedlichen Einrichtungen und nach Zusammenkünften</w:t>
            </w:r>
          </w:p>
          <w:p>
            <w:pPr>
              <w:pStyle w:val="Listenabsatz"/>
              <w:numPr>
                <w:ilvl w:val="1"/>
                <w:numId w:val="44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Asien –Lage (&gt;700/letzte 7 Tage)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 dabei: China und Libanon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China heute höchste Fallzahl seit April, getrieben durch zwei Ausbrüche in Provinzen, u.a. in der  Hafenstadt Lianong in Verbindung mit einem seafood market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Hong Kong: steigende Fallzahlen, heute Ankündigung neuer Maßnahmen ab Mittwoch, nur noch 2 Personen dürfen sich treffen, MNB überall, Restaurants geschlossen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Japan: Rekordzahlen am Wochenende, nicht nur in Tokyo aber in ganzem Land, v.a. jüngere Fälle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Nordkorea: Meldung des ersten Verdachtsfalles, Person, die aus Südkorea nach Nordkorea eingereist ist, aus Sekretabstrichen unsichere </w:t>
            </w:r>
            <w:r>
              <w:rPr>
                <w:sz w:val="22"/>
                <w:szCs w:val="22"/>
              </w:rPr>
              <w:lastRenderedPageBreak/>
              <w:t>Testergebnisse, Notstand wurde im betroffenem Gebiet ausgerufen, Gesundheitsbehörden reden noch nicht von einem COVID-19-Fall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Vietnam: erneut autochthone 3 Fälle nach 100 Tagen ohne, Infektionsquelle unbekannt, Fall hat nach Symptombeginn eine Hochzeit besucht, 80.000 vietnamesische nationale Touristen werden zurück in ihre Heimatorte geführt</w:t>
            </w:r>
          </w:p>
          <w:p>
            <w:pPr>
              <w:pStyle w:val="Listenabsatz"/>
              <w:numPr>
                <w:ilvl w:val="1"/>
                <w:numId w:val="44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Europa –Lage (&gt;700/letzte 7 Tage)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Neu: Luxemburg, Montenegro, NL und Schweiz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Osteuropa und Balkan weiter exponentieller Anstieg, auch in West- und Südeuropa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 mehreren Ländern Wiedereinführung von lokal begrenzten Einschränkungen 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GB: Quarantäne für einreisende aus Spanien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WHO EURO berichtet (Stand KW29, vorletzte Woche): 27% der gemeldeten Infektionen (mit hierzu übermittelten Informationen) waren HCW (WHO EURO Zone), die meisten kumulativen Todesfälle waren in GB, gefolgt von Italien, Frankreich, Spanien</w:t>
            </w:r>
          </w:p>
          <w:p>
            <w:pPr>
              <w:pStyle w:val="Listenabsatz"/>
              <w:numPr>
                <w:ilvl w:val="1"/>
                <w:numId w:val="44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Ozeanien –Lage (&gt;700/letzte 7 Tage): Australien heute neue Rekordzahl mit 532 neuen Fällen, alle aus Victoria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Zusammenfassung: globaler Anstieg von Fällen, viele Länder verschärfen erneut ihre Maßnahmen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Diskussion </w:t>
            </w:r>
          </w:p>
          <w:p>
            <w:pPr>
              <w:pStyle w:val="Listenabsatz"/>
              <w:numPr>
                <w:ilvl w:val="1"/>
                <w:numId w:val="44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 wäre interessant, den Fall-Verstorbenen-Anteil zwischen der 1. Und der 2. Welle zu evaluieren um deren Schwere zu vergleichen</w:t>
            </w:r>
          </w:p>
          <w:p>
            <w:pPr>
              <w:pStyle w:val="Listenabsatz"/>
              <w:numPr>
                <w:ilvl w:val="1"/>
                <w:numId w:val="44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Situation in USA: CDC hat ein Dashboard (</w:t>
            </w:r>
            <w:hyperlink r:id="rId9" w:history="1">
              <w:r>
                <w:rPr>
                  <w:rStyle w:val="Hyperlink"/>
                  <w:sz w:val="22"/>
                  <w:szCs w:val="22"/>
                </w:rPr>
                <w:t>hier</w:t>
              </w:r>
            </w:hyperlink>
            <w:r>
              <w:rPr>
                <w:sz w:val="22"/>
                <w:szCs w:val="22"/>
              </w:rPr>
              <w:t>) wo die Krankenhauskapazitäten dargestellt sind</w:t>
            </w:r>
          </w:p>
          <w:p>
            <w:pPr>
              <w:pStyle w:val="Listenabsatz"/>
              <w:numPr>
                <w:ilvl w:val="1"/>
                <w:numId w:val="44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DIVI-Register in Deutschland ist Intensivstation-spezifisch, gibt es Daten zur Belastung des Vorintensivbereiches in Deutschland? </w:t>
            </w:r>
          </w:p>
          <w:p>
            <w:pPr>
              <w:pStyle w:val="Listenabsatz"/>
              <w:numPr>
                <w:ilvl w:val="1"/>
                <w:numId w:val="44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Über die ICOSARI Sentinel-KKH gibt es einen guten Überblick zu deren Patienten (egal welcher Schwere), dies ist donnerstags im Lagebericht enthalten, Zahlen sind aktuell sehr rückläufig</w:t>
            </w:r>
          </w:p>
          <w:p>
            <w:pPr>
              <w:rPr>
                <w:i/>
                <w:sz w:val="22"/>
              </w:rPr>
            </w:pPr>
          </w:p>
          <w:p>
            <w:pPr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National 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Fallzahlen, Todesfälle, Trend (Folien </w:t>
            </w:r>
            <w:hyperlink r:id="rId10" w:history="1">
              <w:r>
                <w:rPr>
                  <w:rStyle w:val="Hyperlink"/>
                  <w:sz w:val="22"/>
                  <w:szCs w:val="22"/>
                </w:rPr>
                <w:t>hier</w:t>
              </w:r>
            </w:hyperlink>
            <w:r>
              <w:rPr>
                <w:sz w:val="22"/>
                <w:szCs w:val="22"/>
              </w:rPr>
              <w:t xml:space="preserve">) 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SurvNet übermittelt: 205.609 (+340), davon 9.118 (4,5%) Todesfälle (+0), Inzidenz 247/100.000 Einw., ca. 109.400 Genesene, Reff=1,28, 7T Reff=1,10 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Morgen mehr Aufschluss zur Fallzahlentwicklung, montags ist dies aufgrund des Wochenendverzugs nicht so zuverlässig (BW &amp; SN noch nicht übermittelt)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Fallzahlen sind nicht mehr rückläufig, R-Wert steigt, die BL-R-Kurven ähneln sich grob 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Inzidenzen: 7-T-I steigt nach Tiefpunkt um den 13.07. </w:t>
            </w:r>
            <w:r>
              <w:rPr>
                <w:sz w:val="22"/>
                <w:szCs w:val="22"/>
              </w:rPr>
              <w:lastRenderedPageBreak/>
              <w:t>wieder an, NW oben gefolgt von BY, dann BE, nur 88 LK ohne Fälle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Viele Fälle in großen Städten/Ballungsgebieten 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Ausbrüche 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Dingolfing Landau 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&gt;50/100.000 Einw., 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Erntehelfende in einem Landwirtschaftsbetrieb (primär Gurken)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Spezielle Entnahmetechnik im Liegen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 sind sehr eng in Containern untergebracht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 wurden getestet</w:t>
            </w:r>
          </w:p>
          <w:p>
            <w:pPr>
              <w:pStyle w:val="Listenabsatz"/>
              <w:numPr>
                <w:ilvl w:val="2"/>
                <w:numId w:val="44"/>
              </w:numPr>
              <w:ind w:left="186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Fallanteil ist für eine Tätigkeit im freien sehr hoch, 174/479 MA positiv 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Rostock Aida-Schiffe: Ausbruch unter MA philippinischer Abstammung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Hof: osteuropäische Großfamilie, Reihentestung läuft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Reisen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Anteil der Exposition im Ausland von allen Fällen ist relativ stabil um 10%, bei ausschließlicher Betrachtung derer, die eine Angabe haben, 18%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Daten sind noch nicht vollständig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Meist genannte Länder: 1. Deutschland (3.396) gefolgt von Kosovo, Serbien, Türkei, Bosnien Herzegowina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Expositionsort Reisende nach BL (Folie 11): gewisse Unterschiede der Reiseländer und Fallanteile, Balkanstaaten NW, BY, BW, Türkei häufig NW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Die Expositionsdaten sollten auch im Pressebriefing auftauchen um u zeigen, dass die meisten Fälle aus Deutschland kommen, Risikoverhalten ist wichtiger als Expositionsort, Arbeitsexposition und soziale Exposition spielen eine möglicherweise wichtigere Rolle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Fälle im Zusammenhang mit Balkanländern: viele arbeiten in Deutschland in der Gastronomie und Hotelbranche, kommen teilweise in Kleinbussen es sind nicht primär/nur Touristen sondern auch in Deutschland ansässige Personen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NW hat viele der am meisten betroffenen Kreise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Kein Kommentar von NW, es ist schwer, jemanden von dort zu fassen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GÄ in NW sind nicht froh über die Vorgehensweise, teilweise sehr gute MA vor Ort im ÖGD, jedoch nicht genug politische Unterstützung vorhanden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Wie kann das RKI die Situation verbessern, bzw. mehr Aufmerksamkeit darauf lenken? Bericht an BMG, im Lagebericht benennen? 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AL3 hatte Vorschlag der Darstellung der Daten im Lagebericht nach Ballungsgebieten, um einen stärkeren Fokus darauf zu legen, das Problem großer Städte mit hoher Bevölkerungsdichte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Gespräch hierzu ist morgen mit dem BMG (Holtherm) </w:t>
            </w:r>
            <w:r>
              <w:rPr>
                <w:sz w:val="22"/>
                <w:szCs w:val="22"/>
              </w:rPr>
              <w:lastRenderedPageBreak/>
              <w:t>geplant, VPräs und Ute Rexroth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 Ute dann nicht für das Pressebriefing verfügbar ist muss jemand anderes hierfür gefunden werden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ZIG1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Internationales</w:t>
            </w:r>
            <w:r>
              <w:rPr>
                <w:b/>
                <w:color w:val="FF0000"/>
              </w:rPr>
              <w:t xml:space="preserve"> (nur freitags)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Nicht besprochen</w:t>
            </w:r>
          </w:p>
          <w:p>
            <w:pPr>
              <w:rPr>
                <w:i/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Update digitale Projekte </w:t>
            </w:r>
            <w:r>
              <w:rPr>
                <w:b/>
                <w:color w:val="FF0000"/>
              </w:rPr>
              <w:t xml:space="preserve"> (nur montags)</w:t>
            </w:r>
          </w:p>
          <w:p>
            <w:pPr>
              <w:spacing w:line="276" w:lineRule="auto"/>
              <w:rPr>
                <w:b/>
                <w:sz w:val="22"/>
              </w:rPr>
            </w:pPr>
            <w:r>
              <w:rPr>
                <w:b/>
                <w:sz w:val="22"/>
                <w:szCs w:val="22"/>
              </w:rPr>
              <w:t>CWA</w:t>
            </w:r>
            <w:r>
              <w:rPr>
                <w:sz w:val="22"/>
                <w:szCs w:val="22"/>
              </w:rPr>
              <w:t xml:space="preserve"> 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Flyer für MA der GA und ambulante Praxen (Links </w:t>
            </w:r>
            <w:hyperlink r:id="rId11" w:history="1">
              <w:r>
                <w:rPr>
                  <w:rStyle w:val="Hyperlink"/>
                  <w:sz w:val="22"/>
                  <w:szCs w:val="22"/>
                </w:rPr>
                <w:t>hier</w:t>
              </w:r>
            </w:hyperlink>
            <w:r>
              <w:rPr>
                <w:sz w:val="22"/>
                <w:szCs w:val="22"/>
              </w:rPr>
              <w:t xml:space="preserve"> und </w:t>
            </w:r>
            <w:hyperlink r:id="rId12" w:history="1">
              <w:r>
                <w:rPr>
                  <w:rStyle w:val="Hyperlink"/>
                  <w:sz w:val="22"/>
                  <w:szCs w:val="22"/>
                </w:rPr>
                <w:t>hier</w:t>
              </w:r>
            </w:hyperlink>
            <w:r>
              <w:rPr>
                <w:sz w:val="22"/>
                <w:szCs w:val="22"/>
              </w:rPr>
              <w:t>)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Auf 1. Seite Einführung in die CWA Funktion, Infos zur Statusanzeige, keine Änderungen zu vorher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Auf 2. Seite wurden die Empfehlungen zum Umgang mit Risikomeldungen überarbeitet, insbesondere hinsichtlich der Unterscheidung von asymptoma-tischen und symptomatischen Personen, Vorgang wurde klarer/differenzierter erklärt, auch, wann Testung stattzufinden hat und zur KoNa KP Einstufung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Die Änderungen wurden mit der KBV abgestimmt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Inhaltlich sind die Flyer den Vorversionen äquivalent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Neue Versionen werden über RKI LZ zur Abstimmung ans BMG (Renner) geschickt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Nach der Wochenendnachricht zum nicht-Funktionieren der CWA wird SAP erneut bestimmte Parameter überprüfen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Die TOP 5 der Probleme werden für das Pressebriefing morgen mit Antworten vorbereitet 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Alles was bezüglich CWA läuft muss mit BMG abgestimmt werden (auch aufgrund möglicher weiterer Kosten)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Weitere Arbeit an der App um sie lauffähig zu halten: Erfüllung der BfDI Auflagen, Verhinderung von Missbrauch, Anbindung der Labore und des ÖGD (zsm. mit Abt. 3)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Digitale Projekte 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Symptomchecker App bei der Charité und jetzt auch im RKI im Einsatz, Abschluss der Datenschutzbelange hat gedauert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Datenspende wird immer verlässlicher, Blog-einträge sind online einsehbar, aktuell wird daran gearbeitet diese zu automatisieren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FG37/FG21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FG21</w:t>
            </w:r>
          </w:p>
        </w:tc>
      </w:tr>
      <w:tr>
        <w:trPr>
          <w:trHeight w:val="518"/>
        </w:trPr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Aktuelle Risikobewertung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Nichts neues seit letzter Version vom 17.07.2020</w:t>
            </w:r>
          </w:p>
          <w:p>
            <w:pPr>
              <w:rPr>
                <w:i/>
                <w:sz w:val="22"/>
                <w:szCs w:val="22"/>
              </w:rPr>
            </w:pP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>
            <w:pPr>
              <w:rPr>
                <w:sz w:val="22"/>
                <w:szCs w:val="22"/>
              </w:rPr>
            </w:pPr>
          </w:p>
        </w:tc>
      </w:tr>
      <w:tr>
        <w:trPr>
          <w:trHeight w:val="518"/>
        </w:trPr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Kommunikation</w:t>
            </w:r>
          </w:p>
          <w:p>
            <w:pPr>
              <w:spacing w:line="276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BZgA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Diskussion von Freitag (Bundesgesundheitsblatt) aufgenommen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Steigenden Fallzahlen: Entschluss dass nicht primär über die Zahlen kommuniziert werden soll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Werbung zur App wurde ausgetauscht gegen Propagierung der Reise- bzw. Urlaubszeit, AHA-Regeln mit Ziel alle Altersgruppen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Heute Nachmittag Gespräch über aktuelle Daten aus COSMO: insbesondere Kommunikation an junge Männer die feiern, adressieren über ihre eigenen Communities und die Kanäle „Liebesleben“ und „kenn Dein Limit“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Diskussion: Wie kann Allgemeinbevölkerung ohne Diskriminie-rung hinsichtlich soziale Verantwortung mitgenommen werden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Situation ist komplex: einerseits bestimmte Zielgruppen ohne zu stigmatisieren, dann Sommer, Urlaub, neue Freiheit genießen, Reisetätigkeit, laissez-fair Haltung, die Risikowahrnehmung ist nicht mehr wie vor 3-4 Monaten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Nächste Woche beginnen die ersten Schulöffnungen (z.B. NS) 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VPräs: in Japanischer Kommunikation werden gefährliche Expo-sitionssituationen illustriert, 3-C-Regel (crowded places usw.)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Holländer haben auch interessante Konzepte für junge Menschen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Presse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Morgen Pressebriefing mit Präs und MA aus Abt. 3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Viele Anfragen zu steigenden Fallzahlen, Verweis auf Webseite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Bundeswehr</w:t>
            </w:r>
            <w:r>
              <w:rPr>
                <w:sz w:val="22"/>
                <w:szCs w:val="22"/>
              </w:rPr>
              <w:t xml:space="preserve"> 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Nichts zu berichten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BZgA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Presse</w:t>
            </w:r>
          </w:p>
        </w:tc>
      </w:tr>
      <w:tr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6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Neues aus dem BMG</w:t>
            </w:r>
          </w:p>
          <w:p>
            <w:pPr>
              <w:spacing w:line="276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BMG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Außer GMK Beschluss nichts zu berichten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BMG Interesse an Infektionen im Flugverkehr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Bisher keine Erkenntnisse hierzu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Letzte Woche Anfragen an RKI, da Scheuer hat sich auf RKI bezogen hat bezüglich fehlender Sinnhaftigkeit von Abstandshaltung in Flugzeugen, dies ist falsch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Die internationale KoNa wurde Mitte April eingestellt, weil es so wenig Reiseverkehr gab, aber auch, weil keine Übertragungen im Flugzeug dokumentiert wurden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Dies hat sich geändert: noch keine detaillierte Auswertung aber 2-3 Berichte zu Einzelfällen (Israel, Frankreich)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Mitte Juni wurde die KoNa wieder aufgenommen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Komplex da Differenz der Expositonsrisiken in In- und Ausland sowie auf dem Flug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RKI Studie zur Auswertung inklusive Nachermittlung hierzu ist geplant, konnte trotz Bereitschaft wegen fehlender Datenschutz-Zustimmung noch nicht angefangen werden</w:t>
            </w:r>
          </w:p>
          <w:p>
            <w:pPr>
              <w:rPr>
                <w:sz w:val="22"/>
              </w:rPr>
            </w:pP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Irina Czogiel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</w:t>
            </w:r>
          </w:p>
        </w:tc>
      </w:tr>
      <w:tr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6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RKI-Strategie Fragen</w:t>
            </w:r>
          </w:p>
          <w:p>
            <w:pPr>
              <w:pStyle w:val="Listenabsatz"/>
              <w:numPr>
                <w:ilvl w:val="0"/>
                <w:numId w:val="45"/>
              </w:numPr>
              <w:spacing w:line="276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GMK Beschluss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Testung von Reisenden aus Risikogebieten ist beschlossen und ist ohne Rücksprache erfolgt/widerspricht der RKI-Empfehlung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Spahn wird heute diesbezügliche Anordnung erlassen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ÖGD/GÄ und Landesebene denken, RKI wird konsultiert, dies ist bei vielen politischen Entscheidungen jedoch nicht der Fall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RKI muss diese Entscheidungen operativ umsetzen, z.B. auch bei Risikogebieten, dies wird missverstanden als ob RKI diese benennen/ausweisen würde, was nicht der Fall ist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Soll RKI sich positionieren? Wie steht RKI zu Freitestung?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Ggf. Aussage Risikoreduktion durch 1-malige Testung aber keine 100%-ige Sicherheit gibt, da lediglich ein paar Fälle herausgefischt werden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Keinesfalls sollen Vorsichtsmaßnahmen fallen gelassen werden, weitere Einhaltung der AHA-Regeln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Zunächst konzentrieren auf fachliche Aspekte, NPV, welche Sicherheit können die Testungen tatsächlich geben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Zweittestung Rückkehrer aus Risikogebieten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Ullmann (FDP) sprach heute Morgen im Radio von 2. Testung, da eine nicht als genügend angesehen wird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GMK Beschluss sieht auch zweimalige Testung vor, 2. Test soll „wenn immer möglich“ gemacht werden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Einordnung der Bedeutung: was heißt dies für die Zwischenzeit bis 2. Testergebnis vorliegt, mindestens konsequente Kontaktreduzierung und AHA-Regeln, Empfehlung für Allgemeinbevölkerung, stellt den Nutzen ggf. in Frage 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Wenn eine Quarantäne 4 Tage früher aufhört, hat dies bereits einen ökonomischen Impact bzw. Wert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Parallel sagen die Kinderärzte, dass symptomatische Kinder aus Kapazitätsgründen nicht getestet werden können, aber jede/r der/die aus einem Risikogebiet kommt, erhält zwei Testungen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Pädiatrische Fachgesellschaft ist nicht einstimmig, es gibt zusehends mehr Widersprüche, deswegen bleibt Testung symptomatischer Personen immer die Priorität 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 Diagnostik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FF ist ans BMG übergegangen, BMG lädt ein und definiert Themen 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BMG führt auch Protokoll, RKI hat dies abgelehnt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RKI hat am 07.07.2020 Bericht eingereicht, der auch auf der Webseite ist (unter nationaler Teststrategie bei Diagnostik)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Darin wurden Prioritäten nicht nummeriert sondern als a, b, c aufgeführt damit sie leichter auseinanderzuhalten sind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45"/>
              </w:numPr>
              <w:spacing w:line="276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RKI-intern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Nicht besprochen</w:t>
            </w:r>
          </w:p>
          <w:p>
            <w:pPr>
              <w:rPr>
                <w:i/>
                <w:sz w:val="22"/>
                <w:szCs w:val="22"/>
              </w:rPr>
            </w:pP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FG32/alle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67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Dokumente</w:t>
            </w:r>
          </w:p>
          <w:p>
            <w:pPr>
              <w:pStyle w:val="Listenabsatz"/>
              <w:numPr>
                <w:ilvl w:val="0"/>
                <w:numId w:val="44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Entwurf zur Kontaktaufnahme im Umgang mit Roma und Sinti (vulnerablen Personengruppen) ist fertig und wird Mittwoch oder Freitag im Krisenstab präsentiert</w:t>
            </w:r>
          </w:p>
          <w:p>
            <w:pPr>
              <w:rPr>
                <w:i/>
                <w:sz w:val="22"/>
              </w:rPr>
            </w:pPr>
          </w:p>
        </w:tc>
        <w:tc>
          <w:tcPr>
            <w:tcW w:w="14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FG32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Labordiagnostik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ZBS1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386 proben getestet, 50 (12,9%) positiv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 Woche in Folge in der es ruhig ist (was Probenanzahl angeht), Zeit wird genutzt um die Kapazitäten zu erhöhen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Studienproben sollen ab September eingehen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Positivraten bei ZBS1 Proben sind hoch, was ist zur Testpopulation bekannt? 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 sind vor allem Proben von Personen die in begründeter Quarantäne sind, Abstriche werden durch GÄ im Rahmen des KP Management genommen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Freitag findet ein ECDC Webinar zur Testung asymptomatischer Personen statt, AL1 wird dort berichten, Feedback von angeschriebenen Kollegen ist bis Mittwoch erwünscht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FG17: nicht neues, weiter hohe Nachweisraten von Rhinoviren, Proben sind auf alle anderen Erreger negativ</w:t>
            </w:r>
          </w:p>
          <w:p>
            <w:pPr>
              <w:rPr>
                <w:i/>
                <w:sz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ZBS1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AL1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FG17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Klinisches Management/Entlassungsmanagement</w:t>
            </w:r>
          </w:p>
          <w:p>
            <w:pPr>
              <w:spacing w:line="276" w:lineRule="auto"/>
              <w:rPr>
                <w:b/>
                <w:sz w:val="22"/>
              </w:rPr>
            </w:pPr>
            <w:r>
              <w:rPr>
                <w:b/>
                <w:sz w:val="22"/>
                <w:szCs w:val="22"/>
              </w:rPr>
              <w:t>COVRIIN: Vorstellung Studie Patientenversorgung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Heute um 15:00 Vorstellung der Daten aus der Studie, Einwahldaten bei Christian Herzog verfügbar, dies wird mögliche Konsequenzen für den ÖGD haben, interessierte bitte melden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VPräs, AL1 sind auch interessiert</w:t>
            </w:r>
          </w:p>
          <w:p>
            <w:pPr>
              <w:spacing w:line="276" w:lineRule="auto"/>
              <w:rPr>
                <w:i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IBBS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Maßnahmen zum Infektionsschutz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Nicht besprochen</w:t>
            </w:r>
          </w:p>
          <w:p>
            <w:pPr>
              <w:rPr>
                <w:sz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2"/>
              </w:rPr>
            </w:pPr>
            <w:r>
              <w:rPr>
                <w:b/>
                <w:sz w:val="28"/>
              </w:rPr>
              <w:t>Surveillance</w:t>
            </w:r>
          </w:p>
          <w:p>
            <w:pPr>
              <w:spacing w:line="276" w:lineRule="auto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Corona-KiTa-Studie: Erkrankungszahlen bei Kindern unter 10 Jahren </w:t>
            </w:r>
            <w:r>
              <w:rPr>
                <w:sz w:val="22"/>
                <w:szCs w:val="22"/>
              </w:rPr>
              <w:t xml:space="preserve">(Folien </w:t>
            </w:r>
            <w:hyperlink r:id="rId13" w:history="1">
              <w:r>
                <w:rPr>
                  <w:rStyle w:val="Hyperlink"/>
                  <w:sz w:val="22"/>
                  <w:szCs w:val="22"/>
                </w:rPr>
                <w:t>hier</w:t>
              </w:r>
            </w:hyperlink>
            <w:r>
              <w:rPr>
                <w:sz w:val="22"/>
                <w:szCs w:val="22"/>
              </w:rPr>
              <w:t>)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Wurde bereits letzte Woche ausführlich von Walter Haas vorgestellt, die Studie selbst ist im Foliensatz erklärt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Aktuell ist der 3. Monatsbericht (mit Daten aus GrippeWeb, ARE und Meldedaten) in Vorbereitung 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Anteil nach Altersgruppen: in letzten 2 Wochen stieg der Anteil der 11-14-jährigen, möglicherweise durch außerschulische Kontakte, verschiedene Altersgruppen müssen differenziert betrachtet werden da Jugendliche ggf. eher außerhalb der Schule exponiert sind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Ausbrüche in Einrichtungen für Kinder: 31 Ausbrüche (mit mindestens 2 Fällen) wurden angelegt, Altersgruppen häufig &gt;14 Jahre, auch Betreuende sind oft betroffen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In BY gibt es einen Kita-Ausbruch, ansonsten nichts neues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Schulausbrüche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letzten zwei Wochen nichts hinzugekommen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Wird interessant, wenn die Schulferien enden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Logistisch sollten noch Anpassungen vorgenommen werden um möglichst wenig Risiko zu haben</w:t>
            </w:r>
          </w:p>
          <w:p>
            <w:pPr>
              <w:pStyle w:val="Listenabsatz"/>
              <w:numPr>
                <w:ilvl w:val="1"/>
                <w:numId w:val="31"/>
              </w:numPr>
              <w:ind w:left="14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Kinder infizieren sicher eher an Jugendlichen und Erwachsenen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Transport und Grenzübergangsstellen </w:t>
            </w:r>
            <w:r>
              <w:rPr>
                <w:b/>
                <w:color w:val="FF0000"/>
              </w:rPr>
              <w:t>(nur freitags)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Wegen GMK Beschluss oben unter Strategie erwähnt</w:t>
            </w:r>
          </w:p>
          <w:p>
            <w:pPr>
              <w:rPr>
                <w:sz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Information aus dem Lagezentrum </w:t>
            </w:r>
            <w:r>
              <w:rPr>
                <w:b/>
                <w:color w:val="FF0000"/>
              </w:rPr>
              <w:t>(nur freitags)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Neue Betriebszeiten am Wochenende (bereits Fr angekündigt)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Diesen Freitag 200. Betriebstag </w:t>
            </w:r>
          </w:p>
          <w:p>
            <w:pPr>
              <w:rPr>
                <w:i/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Wichtige Termine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Heute 15:00: Vorstellen 1. Ergebnisse der COVRIIN Studie zur Patientenversorgung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Morgen 10:00: RKI-Pressebriefing</w:t>
            </w:r>
          </w:p>
          <w:p>
            <w:pPr>
              <w:rPr>
                <w:b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IBBS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Andere Themen</w:t>
            </w:r>
          </w:p>
          <w:p>
            <w:pPr>
              <w:pStyle w:val="Listenabsatz"/>
              <w:numPr>
                <w:ilvl w:val="0"/>
                <w:numId w:val="31"/>
              </w:numPr>
              <w:ind w:left="450" w:hanging="23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Nächste Sitzung: Mittwoch, 29.07.2020, 11:00 Uhr, via Vitero</w:t>
            </w:r>
          </w:p>
          <w:p>
            <w:pPr>
              <w:rPr>
                <w:sz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spacing w:after="0"/>
        <w:rPr>
          <w:sz w:val="22"/>
          <w:highlight w:val="yellow"/>
        </w:rPr>
      </w:pPr>
    </w:p>
    <w:sectPr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/>
      </w:pPr>
      <w:r>
        <w:separator/>
      </w:r>
    </w:p>
  </w:endnote>
  <w:endnote w:type="continuationSeparator" w:id="0">
    <w:p>
      <w:pPr>
        <w:spacing w:after="0"/>
      </w:pPr>
      <w:r>
        <w:continuationSeparator/>
      </w:r>
    </w:p>
  </w:endnote>
  <w:endnote w:type="continuationNotice" w:id="1">
    <w:p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ind w:right="360"/>
      <w:rPr>
        <w:i/>
        <w:color w:val="7F7F7F" w:themeColor="text1" w:themeTint="80"/>
      </w:rPr>
    </w:pPr>
    <w:r>
      <w:rPr>
        <w:i/>
        <w:color w:val="7F7F7F" w:themeColor="text1" w:themeTint="80"/>
      </w:rPr>
      <w:tab/>
    </w:r>
    <w:r>
      <w:rPr>
        <w:i/>
        <w:color w:val="7F7F7F" w:themeColor="text1" w:themeTint="80"/>
      </w:rPr>
      <w:tab/>
    </w:r>
    <w:bookmarkStart w:id="0" w:name="_GoBack"/>
    <w:bookmarkEnd w:id="0"/>
    <w:r>
      <w:rPr>
        <w:i/>
        <w:color w:val="7F7F7F" w:themeColor="text1" w:themeTint="80"/>
      </w:rPr>
      <w:t xml:space="preserve">Seite </w:t>
    </w:r>
    <w:r>
      <w:rPr>
        <w:b/>
        <w:bCs/>
        <w:i/>
        <w:color w:val="7F7F7F" w:themeColor="text1" w:themeTint="80"/>
      </w:rPr>
      <w:fldChar w:fldCharType="begin"/>
    </w:r>
    <w:r>
      <w:rPr>
        <w:b/>
        <w:bCs/>
        <w:i/>
        <w:color w:val="7F7F7F" w:themeColor="text1" w:themeTint="80"/>
      </w:rPr>
      <w:instrText>PAGE  \* Arabic  \* MERGEFORMAT</w:instrText>
    </w:r>
    <w:r>
      <w:rPr>
        <w:b/>
        <w:bCs/>
        <w:i/>
        <w:color w:val="7F7F7F" w:themeColor="text1" w:themeTint="80"/>
      </w:rPr>
      <w:fldChar w:fldCharType="separate"/>
    </w:r>
    <w:r>
      <w:rPr>
        <w:b/>
        <w:bCs/>
        <w:i/>
        <w:color w:val="7F7F7F" w:themeColor="text1" w:themeTint="80"/>
      </w:rPr>
      <w:t>1</w:t>
    </w:r>
    <w:r>
      <w:rPr>
        <w:b/>
        <w:bCs/>
        <w:i/>
        <w:color w:val="7F7F7F" w:themeColor="text1" w:themeTint="80"/>
      </w:rPr>
      <w:fldChar w:fldCharType="end"/>
    </w:r>
    <w:r>
      <w:rPr>
        <w:i/>
        <w:color w:val="7F7F7F" w:themeColor="text1" w:themeTint="80"/>
      </w:rPr>
      <w:t xml:space="preserve"> von </w:t>
    </w:r>
    <w:r>
      <w:rPr>
        <w:b/>
        <w:bCs/>
        <w:i/>
        <w:color w:val="7F7F7F" w:themeColor="text1" w:themeTint="80"/>
      </w:rPr>
      <w:fldChar w:fldCharType="begin"/>
    </w:r>
    <w:r>
      <w:rPr>
        <w:b/>
        <w:bCs/>
        <w:i/>
        <w:color w:val="7F7F7F" w:themeColor="text1" w:themeTint="80"/>
      </w:rPr>
      <w:instrText>NUMPAGES  \* Arabic  \* MERGEFORMAT</w:instrText>
    </w:r>
    <w:r>
      <w:rPr>
        <w:b/>
        <w:bCs/>
        <w:i/>
        <w:color w:val="7F7F7F" w:themeColor="text1" w:themeTint="80"/>
      </w:rPr>
      <w:fldChar w:fldCharType="separate"/>
    </w:r>
    <w:r>
      <w:rPr>
        <w:b/>
        <w:bCs/>
        <w:i/>
        <w:color w:val="7F7F7F" w:themeColor="text1" w:themeTint="80"/>
      </w:rPr>
      <w:t>2</w:t>
    </w:r>
    <w:r>
      <w:rPr>
        <w:b/>
        <w:bCs/>
        <w:i/>
        <w:color w:val="7F7F7F" w:themeColor="text1" w:themeTint="80"/>
      </w:rPr>
      <w:fldChar w:fldCharType="end"/>
    </w:r>
    <w:r>
      <w:rPr>
        <w:i/>
        <w:color w:val="7F7F7F" w:themeColor="text1" w:themeTint="80"/>
      </w:rPr>
      <w:tab/>
    </w:r>
    <w:r>
      <w:rPr>
        <w:i/>
        <w:color w:val="7F7F7F" w:themeColor="text1" w:themeTint="80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/>
      </w:pPr>
      <w:r>
        <w:separator/>
      </w:r>
    </w:p>
  </w:footnote>
  <w:footnote w:type="continuationSeparator" w:id="0">
    <w:p>
      <w:pPr>
        <w:spacing w:after="0"/>
      </w:pPr>
      <w:r>
        <w:continuationSeparator/>
      </w:r>
    </w:p>
  </w:footnote>
  <w:footnote w:type="continuationNotice" w:id="1">
    <w:p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  <w:sz w:val="16"/>
      </w:rPr>
      <w:t>VS - NUR FÜR DEN DIENSTGEBRAUCH</w:t>
    </w:r>
    <w:r>
      <w:rPr>
        <w:color w:val="1F497D" w:themeColor="text2"/>
      </w:rPr>
      <w:tab/>
    </w:r>
    <w:r>
      <w:rPr>
        <w:color w:val="1F497D" w:themeColor="text2"/>
      </w:rPr>
      <w:tab/>
    </w:r>
    <w:r>
      <w:rPr>
        <w:noProof/>
        <w:color w:val="1F497D" w:themeColor="text2"/>
        <w:lang w:eastAsia="de-DE"/>
      </w:rPr>
      <w:drawing>
        <wp:inline distT="0" distB="0" distL="0" distR="0">
          <wp:extent cx="1574800" cy="465667"/>
          <wp:effectExtent l="25400" t="0" r="0" b="0"/>
          <wp:docPr id="1" name="P 1" descr="RKI_Logo_Monit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KI_Logo_Monit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744" cy="465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  <w:p>
    <w:pPr>
      <w:pStyle w:val="Kopfzeile"/>
      <w:pBdr>
        <w:bottom w:val="single" w:sz="6" w:space="1" w:color="auto"/>
      </w:pBdr>
      <w:rPr>
        <w:color w:val="1F497D" w:themeColor="text2"/>
      </w:rPr>
    </w:pPr>
  </w:p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 xml:space="preserve">Lagezentrum des RKI </w:t>
    </w:r>
    <w:r>
      <w:rPr>
        <w:color w:val="1F497D" w:themeColor="text2"/>
      </w:rPr>
      <w:tab/>
    </w:r>
    <w:r>
      <w:rPr>
        <w:color w:val="1F497D" w:themeColor="text2"/>
      </w:rPr>
      <w:tab/>
      <w:t>Protokoll des COVID-19-Krisenstabs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77824"/>
    <w:multiLevelType w:val="hybridMultilevel"/>
    <w:tmpl w:val="9ED49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F85E55"/>
    <w:multiLevelType w:val="hybridMultilevel"/>
    <w:tmpl w:val="4E1A912E"/>
    <w:lvl w:ilvl="0" w:tplc="0407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80737CF"/>
    <w:multiLevelType w:val="hybridMultilevel"/>
    <w:tmpl w:val="A198B08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5" w:tplc="040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D250161"/>
    <w:multiLevelType w:val="hybridMultilevel"/>
    <w:tmpl w:val="1922A45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3E4327"/>
    <w:multiLevelType w:val="hybridMultilevel"/>
    <w:tmpl w:val="F9362562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780C93"/>
    <w:multiLevelType w:val="hybridMultilevel"/>
    <w:tmpl w:val="31C262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DE3979"/>
    <w:multiLevelType w:val="hybridMultilevel"/>
    <w:tmpl w:val="45764AC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5" w:tplc="E51AC878">
      <w:start w:val="1"/>
      <w:numFmt w:val="bullet"/>
      <w:lvlText w:val="-"/>
      <w:lvlJc w:val="left"/>
      <w:pPr>
        <w:ind w:left="4680" w:hanging="360"/>
      </w:pPr>
      <w:rPr>
        <w:rFonts w:ascii="Calibri" w:hAnsi="Calibri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10812AE"/>
    <w:multiLevelType w:val="hybridMultilevel"/>
    <w:tmpl w:val="A76089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B3A2849"/>
    <w:multiLevelType w:val="hybridMultilevel"/>
    <w:tmpl w:val="FC6E9F7A"/>
    <w:lvl w:ilvl="0" w:tplc="77B040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7F000E"/>
    <w:multiLevelType w:val="hybridMultilevel"/>
    <w:tmpl w:val="9282249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1C67DD"/>
    <w:multiLevelType w:val="hybridMultilevel"/>
    <w:tmpl w:val="8FB831D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2EF6FE9"/>
    <w:multiLevelType w:val="hybridMultilevel"/>
    <w:tmpl w:val="108054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3647304"/>
    <w:multiLevelType w:val="hybridMultilevel"/>
    <w:tmpl w:val="C3485AA0"/>
    <w:lvl w:ilvl="0" w:tplc="45309F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C212D4B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2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B397807"/>
    <w:multiLevelType w:val="hybridMultilevel"/>
    <w:tmpl w:val="8E6C29EE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2A07E2"/>
    <w:multiLevelType w:val="hybridMultilevel"/>
    <w:tmpl w:val="2F145C3C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2977DEE"/>
    <w:multiLevelType w:val="hybridMultilevel"/>
    <w:tmpl w:val="DF240308"/>
    <w:lvl w:ilvl="0" w:tplc="45309F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7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E02685"/>
    <w:multiLevelType w:val="hybridMultilevel"/>
    <w:tmpl w:val="D1F8CFA4"/>
    <w:lvl w:ilvl="0" w:tplc="57EEC79A">
      <w:start w:val="1"/>
      <w:numFmt w:val="bullet"/>
      <w:pStyle w:val="Style1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E6B3F35"/>
    <w:multiLevelType w:val="hybridMultilevel"/>
    <w:tmpl w:val="2B76AEF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2631578"/>
    <w:multiLevelType w:val="hybridMultilevel"/>
    <w:tmpl w:val="5024F09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5F21567"/>
    <w:multiLevelType w:val="hybridMultilevel"/>
    <w:tmpl w:val="B76639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78633CA"/>
    <w:multiLevelType w:val="hybridMultilevel"/>
    <w:tmpl w:val="313C2076"/>
    <w:lvl w:ilvl="0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496456F5"/>
    <w:multiLevelType w:val="hybridMultilevel"/>
    <w:tmpl w:val="472A7808"/>
    <w:lvl w:ilvl="0" w:tplc="42E833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AA313F4"/>
    <w:multiLevelType w:val="hybridMultilevel"/>
    <w:tmpl w:val="4B020A48"/>
    <w:lvl w:ilvl="0" w:tplc="0409000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sz w:val="22"/>
      </w:rPr>
    </w:lvl>
    <w:lvl w:ilvl="1" w:tplc="C212D4B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2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B418FF"/>
    <w:multiLevelType w:val="hybridMultilevel"/>
    <w:tmpl w:val="53C6567A"/>
    <w:lvl w:ilvl="0" w:tplc="45309F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7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7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095C62"/>
    <w:multiLevelType w:val="hybridMultilevel"/>
    <w:tmpl w:val="D916A5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DF13A1"/>
    <w:multiLevelType w:val="hybridMultilevel"/>
    <w:tmpl w:val="0028444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5B44C8"/>
    <w:multiLevelType w:val="hybridMultilevel"/>
    <w:tmpl w:val="C9B49F4C"/>
    <w:lvl w:ilvl="0" w:tplc="0409000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4D10A8A"/>
    <w:multiLevelType w:val="hybridMultilevel"/>
    <w:tmpl w:val="7EFE77BE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F0180D"/>
    <w:multiLevelType w:val="hybridMultilevel"/>
    <w:tmpl w:val="E80231D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FC4816"/>
    <w:multiLevelType w:val="hybridMultilevel"/>
    <w:tmpl w:val="675C8D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9A7A9B"/>
    <w:multiLevelType w:val="hybridMultilevel"/>
    <w:tmpl w:val="DF20876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87F4FB2"/>
    <w:multiLevelType w:val="hybridMultilevel"/>
    <w:tmpl w:val="6012E628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D8161FE"/>
    <w:multiLevelType w:val="hybridMultilevel"/>
    <w:tmpl w:val="B20AD5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E533F5"/>
    <w:multiLevelType w:val="hybridMultilevel"/>
    <w:tmpl w:val="00E487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DE23E21"/>
    <w:multiLevelType w:val="hybridMultilevel"/>
    <w:tmpl w:val="6760482C"/>
    <w:lvl w:ilvl="0" w:tplc="45309F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F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173E87"/>
    <w:multiLevelType w:val="hybridMultilevel"/>
    <w:tmpl w:val="3D00A4FE"/>
    <w:lvl w:ilvl="0" w:tplc="39A8323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7E763D"/>
    <w:multiLevelType w:val="hybridMultilevel"/>
    <w:tmpl w:val="3552D348"/>
    <w:lvl w:ilvl="0" w:tplc="45309F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FD42593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2"/>
      </w:rPr>
    </w:lvl>
    <w:lvl w:ilvl="2" w:tplc="040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495618"/>
    <w:multiLevelType w:val="hybridMultilevel"/>
    <w:tmpl w:val="18E0A4D6"/>
    <w:lvl w:ilvl="0" w:tplc="E51AC878">
      <w:start w:val="1"/>
      <w:numFmt w:val="bullet"/>
      <w:lvlText w:val="-"/>
      <w:lvlJc w:val="left"/>
      <w:pPr>
        <w:ind w:left="2520" w:hanging="360"/>
      </w:pPr>
      <w:rPr>
        <w:rFonts w:ascii="Calibr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962AA0"/>
    <w:multiLevelType w:val="hybridMultilevel"/>
    <w:tmpl w:val="EE5A9F60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72D07176"/>
    <w:multiLevelType w:val="hybridMultilevel"/>
    <w:tmpl w:val="201056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5114FE"/>
    <w:multiLevelType w:val="hybridMultilevel"/>
    <w:tmpl w:val="FAE824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89537FB"/>
    <w:multiLevelType w:val="hybridMultilevel"/>
    <w:tmpl w:val="5D4A4516"/>
    <w:lvl w:ilvl="0" w:tplc="BCF8173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95036B6"/>
    <w:multiLevelType w:val="hybridMultilevel"/>
    <w:tmpl w:val="5476CC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7"/>
  </w:num>
  <w:num w:numId="3">
    <w:abstractNumId w:val="25"/>
  </w:num>
  <w:num w:numId="4">
    <w:abstractNumId w:val="5"/>
  </w:num>
  <w:num w:numId="5">
    <w:abstractNumId w:val="24"/>
  </w:num>
  <w:num w:numId="6">
    <w:abstractNumId w:val="9"/>
  </w:num>
  <w:num w:numId="7">
    <w:abstractNumId w:val="21"/>
  </w:num>
  <w:num w:numId="8">
    <w:abstractNumId w:val="8"/>
  </w:num>
  <w:num w:numId="9">
    <w:abstractNumId w:val="14"/>
  </w:num>
  <w:num w:numId="10">
    <w:abstractNumId w:val="19"/>
  </w:num>
  <w:num w:numId="11">
    <w:abstractNumId w:val="40"/>
  </w:num>
  <w:num w:numId="12">
    <w:abstractNumId w:val="3"/>
  </w:num>
  <w:num w:numId="13">
    <w:abstractNumId w:val="41"/>
  </w:num>
  <w:num w:numId="14">
    <w:abstractNumId w:val="18"/>
  </w:num>
  <w:num w:numId="15">
    <w:abstractNumId w:val="20"/>
  </w:num>
  <w:num w:numId="16">
    <w:abstractNumId w:val="1"/>
  </w:num>
  <w:num w:numId="17">
    <w:abstractNumId w:val="35"/>
  </w:num>
  <w:num w:numId="18">
    <w:abstractNumId w:val="12"/>
  </w:num>
  <w:num w:numId="19">
    <w:abstractNumId w:val="32"/>
  </w:num>
  <w:num w:numId="20">
    <w:abstractNumId w:val="29"/>
  </w:num>
  <w:num w:numId="21">
    <w:abstractNumId w:val="42"/>
  </w:num>
  <w:num w:numId="22">
    <w:abstractNumId w:val="4"/>
  </w:num>
  <w:num w:numId="23">
    <w:abstractNumId w:val="15"/>
  </w:num>
  <w:num w:numId="24">
    <w:abstractNumId w:val="23"/>
  </w:num>
  <w:num w:numId="25">
    <w:abstractNumId w:val="34"/>
  </w:num>
  <w:num w:numId="26">
    <w:abstractNumId w:val="36"/>
  </w:num>
  <w:num w:numId="27">
    <w:abstractNumId w:val="0"/>
  </w:num>
  <w:num w:numId="28">
    <w:abstractNumId w:val="30"/>
  </w:num>
  <w:num w:numId="29">
    <w:abstractNumId w:val="10"/>
  </w:num>
  <w:num w:numId="30">
    <w:abstractNumId w:val="39"/>
  </w:num>
  <w:num w:numId="31">
    <w:abstractNumId w:val="13"/>
  </w:num>
  <w:num w:numId="32">
    <w:abstractNumId w:val="31"/>
  </w:num>
  <w:num w:numId="33">
    <w:abstractNumId w:val="33"/>
  </w:num>
  <w:num w:numId="34">
    <w:abstractNumId w:val="22"/>
  </w:num>
  <w:num w:numId="35">
    <w:abstractNumId w:val="26"/>
  </w:num>
  <w:num w:numId="36">
    <w:abstractNumId w:val="28"/>
  </w:num>
  <w:num w:numId="37">
    <w:abstractNumId w:val="11"/>
  </w:num>
  <w:num w:numId="38">
    <w:abstractNumId w:val="17"/>
  </w:num>
  <w:num w:numId="39">
    <w:abstractNumId w:val="38"/>
  </w:num>
  <w:num w:numId="40">
    <w:abstractNumId w:val="2"/>
  </w:num>
  <w:num w:numId="41">
    <w:abstractNumId w:val="6"/>
  </w:num>
  <w:num w:numId="42">
    <w:abstractNumId w:val="37"/>
  </w:num>
  <w:num w:numId="43">
    <w:abstractNumId w:val="27"/>
  </w:num>
  <w:num w:numId="44">
    <w:abstractNumId w:val="13"/>
  </w:num>
  <w:num w:numId="4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4E066974-9A1A-4640-A7A7-CBDC37F11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link w:val="ListenabsatzZchn"/>
    <w:uiPriority w:val="34"/>
    <w:qFormat/>
    <w:pPr>
      <w:ind w:left="720"/>
      <w:contextualSpacing/>
    </w:pPr>
  </w:style>
  <w:style w:type="paragraph" w:customStyle="1" w:styleId="Style1">
    <w:name w:val="Style1"/>
    <w:basedOn w:val="Listenabsatz"/>
    <w:qFormat/>
    <w:pPr>
      <w:numPr>
        <w:numId w:val="1"/>
      </w:numPr>
      <w:spacing w:before="120" w:after="320"/>
    </w:p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eitenzahl">
    <w:name w:val="page number"/>
    <w:basedOn w:val="Absatz-Standardschriftar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NurText">
    <w:name w:val="Plain Text"/>
    <w:basedOn w:val="Standard"/>
    <w:link w:val="NurTextZchn"/>
    <w:uiPriority w:val="99"/>
    <w:unhideWhenUsed/>
    <w:pPr>
      <w:spacing w:after="0"/>
    </w:pPr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Pr>
      <w:rFonts w:ascii="Calibri" w:hAnsi="Calibri"/>
      <w:sz w:val="22"/>
      <w:szCs w:val="21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after="120"/>
    </w:pPr>
    <w:rPr>
      <w:rFonts w:ascii="Scala Sans OT" w:hAnsi="Scala Sans OT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Scala Sans OT" w:hAnsi="Scala Sans OT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pPr>
      <w:spacing w:after="200"/>
    </w:pPr>
    <w:rPr>
      <w:rFonts w:asciiTheme="minorHAnsi" w:hAnsiTheme="minorHAns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Scala Sans OT" w:hAnsi="Scala Sans OT"/>
      <w:b/>
      <w:bCs/>
      <w:sz w:val="20"/>
      <w:szCs w:val="20"/>
      <w:lang w:eastAsia="de-DE"/>
    </w:rPr>
  </w:style>
  <w:style w:type="paragraph" w:styleId="berarbeitung">
    <w:name w:val="Revision"/>
    <w:hidden/>
    <w:uiPriority w:val="99"/>
    <w:semiHidden/>
    <w:pPr>
      <w:spacing w:after="0"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customStyle="1" w:styleId="st">
    <w:name w:val="st"/>
    <w:basedOn w:val="Absatz-Standardschriftart"/>
  </w:style>
  <w:style w:type="character" w:customStyle="1" w:styleId="ListenabsatzZchn">
    <w:name w:val="Listenabsatz Zchn"/>
    <w:basedOn w:val="Absatz-Standardschriftart"/>
    <w:link w:val="Listenabsatz"/>
    <w:uiPriority w:val="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43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VID-19_International_Lage_2020-07-27.pptx" TargetMode="External"/><Relationship Id="rId13" Type="http://schemas.openxmlformats.org/officeDocument/2006/relationships/hyperlink" Target="CoronaKita_Krisenstab_2020-07-27.pptx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hyperlink" Target="20200723_RKI%20Corona-Warn-App_Relaunch_V2.pdf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20200623_RKI%20Corona-Warn-App_Relaunch_V1.pdf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hyperlink" Target="Lage-National_2020-07-27.pptx" TargetMode="External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hyperlink" Target="https://protect-public.hhs.gov/pages/hospital-capacity" TargetMode="Externa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3872FB-C169-451B-9F2C-6CC7AA307AED}"/>
      </w:docPartPr>
      <w:docPartBody>
        <w:p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A67EC378ADB4363968F76466F399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C18005-6085-43BD-87F3-461643A0F362}"/>
      </w:docPartPr>
      <w:docPartBody>
        <w:p>
          <w:pPr>
            <w:pStyle w:val="0A67EC378ADB4363968F76466F3994ED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773A1FCB61483A80E8B309D8E6A0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06C1AF-B266-437F-B9E9-CF0D892561B9}"/>
      </w:docPartPr>
      <w:docPartBody>
        <w:p>
          <w:pPr>
            <w:pStyle w:val="0F773A1FCB61483A80E8B309D8E6A01A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61406"/>
    <w:rPr>
      <w:color w:val="808080"/>
    </w:rPr>
  </w:style>
  <w:style w:type="paragraph" w:customStyle="1" w:styleId="0A67EC378ADB4363968F76466F3994ED">
    <w:name w:val="0A67EC378ADB4363968F76466F3994ED"/>
    <w:rsid w:val="005523E3"/>
  </w:style>
  <w:style w:type="paragraph" w:customStyle="1" w:styleId="0F773A1FCB61483A80E8B309D8E6A01A">
    <w:name w:val="0F773A1FCB61483A80E8B309D8E6A01A"/>
    <w:rsid w:val="0026140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B67873-EA97-47DA-A90C-274531F15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2184</Words>
  <Characters>13764</Characters>
  <Application>Microsoft Office Word</Application>
  <DocSecurity>0</DocSecurity>
  <Lines>114</Lines>
  <Paragraphs>31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15917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 Rexroth</dc:creator>
  <cp:lastModifiedBy>Grote, Ulrike</cp:lastModifiedBy>
  <cp:revision>13</cp:revision>
  <dcterms:created xsi:type="dcterms:W3CDTF">2020-07-27T05:30:00Z</dcterms:created>
  <dcterms:modified xsi:type="dcterms:W3CDTF">2021-05-10T14:12:00Z</dcterms:modified>
</cp:coreProperties>
</file>